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u w:val="single"/>
          <w:rtl w:val="0"/>
        </w:rPr>
        <w:t xml:space="preserve">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By Leila Ghouri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br w:type="textWrapping"/>
        <w:t xml:space="preserve">Section 1: General Knowledge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How familiar are you with the issue of cobalt mining in the Democratic Republic of Congo?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Very familiar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Somewhat familiar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Heard of it, but don’t know much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Not at all familiar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Before this survey, were you aware that cobalt is a key material used in lithium-ion rechargeable batteries (for your phones, laptops, electric cars, etc.)?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No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Did you know that cobalt mining has a significant impact on both human rights and the environment?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Somewhat</w:t>
      </w:r>
    </w:p>
    <w:p w:rsidR="00000000" w:rsidDel="00000000" w:rsidP="00000000" w:rsidRDefault="00000000" w:rsidRPr="00000000" w14:paraId="0000001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2: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Environmental and Social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 your opinion, how much does cobalt mining contribute to climate change?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Not at all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Slightly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Moderately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Significantly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 don’t know</w:t>
        <w:br w:type="textWrapping"/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Congo Basin is often called the "lungs of Africa" because of its vast forests. Are you aware that deforestation is happening in Congo to expand cobalt mining?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Cobalt mining often involves exploitative labor practices, including child labour and modern-day slavery. How willing would you be to change your consumption habits to help combat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Not Willing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Willing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Actively Willing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Did you know that 23% of those in child labour were between the ages of 7 and 18?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3: Institutional Reflection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Western corporations like Apple and Microsoft often ignore the poor working conditions in the cobalt mines</w:t>
      </w:r>
      <w:r w:rsidDel="00000000" w:rsidR="00000000" w:rsidRPr="00000000">
        <w:rPr>
          <w:b w:val="1"/>
          <w:rtl w:val="0"/>
        </w:rPr>
        <w:t xml:space="preserve">. We use these brands in our university, would you like to see changes in the types of technology we use at Central Saint Martins?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240" w:lineRule="auto"/>
        <w:ind w:left="1440" w:hanging="360"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240" w:lineRule="auto"/>
        <w:ind w:left="1440" w:hanging="360"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Do you believe that educational institutions like Central Saint Martins should address ethical issues, such as the origins of materials used in the technology we rely 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Strongly agree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Agree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Neutral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Disagree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Strongly disagree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To what extent do you think universities should embed climate and social justice into their curriculum, including the ethical implications of using technology?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Essential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Important, but not essential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Neutral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Not very important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240" w:lineRule="auto"/>
        <w:ind w:left="1440" w:hanging="360"/>
        <w:rPr/>
      </w:pPr>
      <w:r w:rsidDel="00000000" w:rsidR="00000000" w:rsidRPr="00000000">
        <w:rPr>
          <w:rtl w:val="0"/>
        </w:rPr>
        <w:t xml:space="preserve">Unnecessary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4: Personal Reflection and Action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Would knowing more about the ethical issues surrounding cobalt mining make you reconsider the technology you use or how frequently you upgrade devices?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Yes, it would make me reconsider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 might consider it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No, it would not impact my choices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Would you support university-led initiatives aimed at raising awareness and promoting ethical alternatives to current technology production practices?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Maybe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5: Future Awareness and Action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What kind of resources or activities would you like to see at Central Saint Martins to raise awareness about cobalt mining and its ethical implications? (Select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Workshops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Documentaries/Film Screenings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Talks/Guest Speakers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Ethical Technology Exhibitions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Educational Campaigns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Other (please specify)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Would you be interested in participating in research or projects (such as the video essay project) that explore the ethical dimensions of technology production and usage?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Maybe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Section 6: Demographic Information 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color w:val="000000"/>
          <w:sz w:val="24"/>
          <w:szCs w:val="24"/>
        </w:rPr>
      </w:pPr>
      <w:bookmarkStart w:colFirst="0" w:colLast="0" w:name="_heading=h.cuzrmi34jk6t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Are you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Student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Staff member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Other (please specify)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What is your field of work/study?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Art &amp; Design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Media &amp; Technology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Fashion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Other (please specify)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E7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E7D7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E7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E7D7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E7D7B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7E56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E562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UiHi8vaHH5JuoVp1z/+LM3lGw==">CgMxLjAyCGguZ2pkZ3hzMgloLjMwajB6bGwyCWguMWZvYjl0ZTIJaC4zem55c2g3MgloLjJldDkycDAyCGgudHlqY3d0MgloLjNkeTZ2a20yDmguY3V6cm1pMzRqazZ0OAByITFaX3hWMC0ydjA1dHNKRkZaUzFEQjdRZ2xVVnhrdlQ5Yw==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2024-10-11T14:21:00Z</dcterms:created>
</cp:coreProperties>
</file>