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0634F" w14:textId="77777777" w:rsidR="00885AE2" w:rsidRDefault="00000000">
      <w:pPr>
        <w:rPr>
          <w:rFonts w:ascii="Arial" w:eastAsia="Arial" w:hAnsi="Arial" w:cs="Arial"/>
          <w:b/>
          <w:sz w:val="22"/>
          <w:szCs w:val="22"/>
        </w:rPr>
      </w:pPr>
      <w:r>
        <w:rPr>
          <w:rFonts w:ascii="Arial" w:eastAsia="Arial" w:hAnsi="Arial" w:cs="Arial"/>
          <w:b/>
          <w:sz w:val="22"/>
          <w:szCs w:val="22"/>
        </w:rPr>
        <w:br/>
        <w:t>ARP 2024-5</w:t>
      </w:r>
    </w:p>
    <w:p w14:paraId="0E6E9DA7" w14:textId="77777777" w:rsidR="00885AE2" w:rsidRDefault="00000000">
      <w:pPr>
        <w:rPr>
          <w:rFonts w:ascii="Arial" w:eastAsia="Arial" w:hAnsi="Arial" w:cs="Arial"/>
          <w:b/>
          <w:sz w:val="22"/>
          <w:szCs w:val="22"/>
        </w:rPr>
      </w:pPr>
      <w:r>
        <w:rPr>
          <w:rFonts w:ascii="Arial" w:eastAsia="Arial" w:hAnsi="Arial" w:cs="Arial"/>
          <w:b/>
          <w:sz w:val="22"/>
          <w:szCs w:val="22"/>
        </w:rPr>
        <w:t>Ethical Action Plan</w:t>
      </w:r>
    </w:p>
    <w:p w14:paraId="44A2BBE0" w14:textId="77777777" w:rsidR="00885AE2" w:rsidRDefault="00885AE2">
      <w:pPr>
        <w:rPr>
          <w:rFonts w:ascii="Arial" w:eastAsia="Arial" w:hAnsi="Arial" w:cs="Arial"/>
          <w:b/>
          <w:sz w:val="22"/>
          <w:szCs w:val="22"/>
        </w:rPr>
      </w:pPr>
    </w:p>
    <w:p w14:paraId="320E60A9" w14:textId="77777777" w:rsidR="00885AE2" w:rsidRDefault="00000000">
      <w:pPr>
        <w:rPr>
          <w:rFonts w:ascii="Arial" w:eastAsia="Arial" w:hAnsi="Arial" w:cs="Arial"/>
          <w:sz w:val="22"/>
          <w:szCs w:val="22"/>
        </w:rPr>
      </w:pPr>
      <w:r>
        <w:rPr>
          <w:rFonts w:ascii="Arial" w:eastAsia="Arial" w:hAnsi="Arial" w:cs="Arial"/>
          <w:b/>
          <w:sz w:val="22"/>
          <w:szCs w:val="22"/>
        </w:rPr>
        <w:t>Name of practitioner-researcher:</w:t>
      </w:r>
      <w:r>
        <w:rPr>
          <w:rFonts w:ascii="Arial" w:eastAsia="Arial" w:hAnsi="Arial" w:cs="Arial"/>
          <w:sz w:val="22"/>
          <w:szCs w:val="22"/>
        </w:rPr>
        <w:t xml:space="preserve"> Leila Ghouri</w:t>
      </w:r>
    </w:p>
    <w:p w14:paraId="6C9EF687" w14:textId="77777777" w:rsidR="00885AE2" w:rsidRDefault="00885AE2">
      <w:pPr>
        <w:pStyle w:val="Subtitle"/>
        <w:rPr>
          <w:rFonts w:ascii="Arial" w:eastAsia="Arial" w:hAnsi="Arial" w:cs="Arial"/>
          <w:sz w:val="22"/>
          <w:szCs w:val="22"/>
        </w:rPr>
      </w:pPr>
    </w:p>
    <w:tbl>
      <w:tblPr>
        <w:tblStyle w:val="a0"/>
        <w:tblW w:w="8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613"/>
      </w:tblGrid>
      <w:tr w:rsidR="00885AE2" w14:paraId="5C2013D9" w14:textId="77777777">
        <w:trPr>
          <w:trHeight w:val="65"/>
        </w:trPr>
        <w:tc>
          <w:tcPr>
            <w:tcW w:w="8613" w:type="dxa"/>
            <w:tcBorders>
              <w:top w:val="single" w:sz="6" w:space="0" w:color="000000"/>
              <w:left w:val="single" w:sz="6" w:space="0" w:color="000000"/>
              <w:right w:val="single" w:sz="6" w:space="0" w:color="000000"/>
            </w:tcBorders>
          </w:tcPr>
          <w:p w14:paraId="29648FA8" w14:textId="77777777" w:rsidR="00885AE2" w:rsidRDefault="00000000">
            <w:pPr>
              <w:numPr>
                <w:ilvl w:val="0"/>
                <w:numId w:val="1"/>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What is your project focus?</w:t>
            </w:r>
          </w:p>
          <w:p w14:paraId="11E7E831" w14:textId="77777777" w:rsidR="00885AE2" w:rsidRDefault="00885AE2">
            <w:pPr>
              <w:rPr>
                <w:rFonts w:ascii="Arial" w:eastAsia="Arial" w:hAnsi="Arial" w:cs="Arial"/>
                <w:sz w:val="22"/>
                <w:szCs w:val="22"/>
              </w:rPr>
            </w:pPr>
          </w:p>
          <w:p w14:paraId="08C35035" w14:textId="77777777" w:rsidR="00885AE2" w:rsidRDefault="00000000">
            <w:pPr>
              <w:numPr>
                <w:ilvl w:val="0"/>
                <w:numId w:val="2"/>
              </w:numPr>
              <w:rPr>
                <w:rFonts w:ascii="Arial" w:eastAsia="Arial" w:hAnsi="Arial" w:cs="Arial"/>
                <w:sz w:val="22"/>
                <w:szCs w:val="22"/>
              </w:rPr>
            </w:pPr>
            <w:r>
              <w:rPr>
                <w:rFonts w:ascii="Arial" w:eastAsia="Arial" w:hAnsi="Arial" w:cs="Arial"/>
                <w:sz w:val="22"/>
                <w:szCs w:val="22"/>
              </w:rPr>
              <w:t xml:space="preserve">To create a video essay based on raising awareness about how the issue of Cobalt Mining in the Democratic Republic of Congo impacts climate change and the appalling unethical conditions the miners work in, is often overlooked in the West. This mining often involves dangerous conditions for the miner’s and slavery, highlighting a global human issue. </w:t>
            </w:r>
          </w:p>
          <w:p w14:paraId="47E8C1C4" w14:textId="44D85484" w:rsidR="00885AE2" w:rsidRDefault="00000000">
            <w:pPr>
              <w:numPr>
                <w:ilvl w:val="0"/>
                <w:numId w:val="2"/>
              </w:numPr>
              <w:rPr>
                <w:rFonts w:ascii="Arial" w:eastAsia="Arial" w:hAnsi="Arial" w:cs="Arial"/>
                <w:sz w:val="22"/>
                <w:szCs w:val="22"/>
              </w:rPr>
            </w:pPr>
            <w:r>
              <w:rPr>
                <w:rFonts w:ascii="Arial" w:eastAsia="Arial" w:hAnsi="Arial" w:cs="Arial"/>
                <w:sz w:val="22"/>
                <w:szCs w:val="22"/>
              </w:rPr>
              <w:t xml:space="preserve">My hypothesis is that many people including staff and students don’t know about this, so my goal is to raise awareness at CSM and address these injustices through research and </w:t>
            </w:r>
            <w:r w:rsidR="00490796">
              <w:rPr>
                <w:rFonts w:ascii="Arial" w:eastAsia="Arial" w:hAnsi="Arial" w:cs="Arial"/>
                <w:sz w:val="22"/>
                <w:szCs w:val="22"/>
              </w:rPr>
              <w:t xml:space="preserve">delivered as </w:t>
            </w:r>
            <w:r>
              <w:rPr>
                <w:rFonts w:ascii="Arial" w:eastAsia="Arial" w:hAnsi="Arial" w:cs="Arial"/>
                <w:sz w:val="22"/>
                <w:szCs w:val="22"/>
              </w:rPr>
              <w:t>education in the format of a video essay.</w:t>
            </w:r>
          </w:p>
          <w:p w14:paraId="475E651A" w14:textId="77777777" w:rsidR="00885AE2" w:rsidRDefault="00000000">
            <w:pPr>
              <w:numPr>
                <w:ilvl w:val="0"/>
                <w:numId w:val="2"/>
              </w:numPr>
              <w:rPr>
                <w:rFonts w:ascii="Arial" w:eastAsia="Arial" w:hAnsi="Arial" w:cs="Arial"/>
                <w:sz w:val="22"/>
                <w:szCs w:val="22"/>
              </w:rPr>
            </w:pPr>
            <w:r>
              <w:rPr>
                <w:rFonts w:ascii="Arial" w:eastAsia="Arial" w:hAnsi="Arial" w:cs="Arial"/>
                <w:sz w:val="22"/>
                <w:szCs w:val="22"/>
              </w:rPr>
              <w:t xml:space="preserve">At Central Saint Martins, a framework for embedding climate, racial, and social justice into the curriculum exists, but there are overlooked human rights violations linked to the technologies used in educational teaching. Specifically, cobalt extraction in the Democratic Republic of Congo (DRC), which raises ethical concerns, with cobalt being essential for batteries used in our </w:t>
            </w:r>
            <w:proofErr w:type="gramStart"/>
            <w:r>
              <w:rPr>
                <w:rFonts w:ascii="Arial" w:eastAsia="Arial" w:hAnsi="Arial" w:cs="Arial"/>
                <w:sz w:val="22"/>
                <w:szCs w:val="22"/>
              </w:rPr>
              <w:t>day to day</w:t>
            </w:r>
            <w:proofErr w:type="gramEnd"/>
            <w:r>
              <w:rPr>
                <w:rFonts w:ascii="Arial" w:eastAsia="Arial" w:hAnsi="Arial" w:cs="Arial"/>
                <w:sz w:val="22"/>
                <w:szCs w:val="22"/>
              </w:rPr>
              <w:t xml:space="preserve"> media devices, and how this impacts climate.</w:t>
            </w:r>
          </w:p>
          <w:p w14:paraId="0B597BAD" w14:textId="4DFA856C" w:rsidR="00885AE2" w:rsidRDefault="00000000">
            <w:pPr>
              <w:numPr>
                <w:ilvl w:val="0"/>
                <w:numId w:val="2"/>
              </w:numPr>
              <w:rPr>
                <w:rFonts w:ascii="Arial" w:eastAsia="Arial" w:hAnsi="Arial" w:cs="Arial"/>
                <w:sz w:val="22"/>
                <w:szCs w:val="22"/>
              </w:rPr>
            </w:pPr>
            <w:r>
              <w:rPr>
                <w:rFonts w:ascii="Arial" w:eastAsia="Arial" w:hAnsi="Arial" w:cs="Arial"/>
                <w:sz w:val="22"/>
                <w:szCs w:val="22"/>
              </w:rPr>
              <w:t xml:space="preserve"> A video essay is an effective tool for disseminating this message because it is highly accessible, it engages viewers emotionally and intellectually, leveraging visuals and narration to convey complex issues like the exploitation behind lithium-ion batteries. It also encourages reflection on how institutions like UAL can embed ethical practices into their curriculum, aligning education with climate and racial justice efforts.</w:t>
            </w:r>
            <w:r w:rsidR="00811FB9">
              <w:rPr>
                <w:rFonts w:ascii="Arial" w:eastAsia="Arial" w:hAnsi="Arial" w:cs="Arial"/>
                <w:sz w:val="22"/>
                <w:szCs w:val="22"/>
              </w:rPr>
              <w:t xml:space="preserve"> </w:t>
            </w:r>
          </w:p>
          <w:p w14:paraId="2D7EF4F2" w14:textId="22ED4D08" w:rsidR="00811FB9" w:rsidRDefault="00811FB9">
            <w:pPr>
              <w:numPr>
                <w:ilvl w:val="0"/>
                <w:numId w:val="2"/>
              </w:numPr>
              <w:rPr>
                <w:rFonts w:ascii="Arial" w:eastAsia="Arial" w:hAnsi="Arial" w:cs="Arial"/>
                <w:sz w:val="22"/>
                <w:szCs w:val="22"/>
              </w:rPr>
            </w:pPr>
            <w:r>
              <w:rPr>
                <w:rFonts w:ascii="Arial" w:eastAsia="Arial" w:hAnsi="Arial" w:cs="Arial"/>
                <w:sz w:val="22"/>
                <w:szCs w:val="22"/>
              </w:rPr>
              <w:t>I will be c</w:t>
            </w:r>
            <w:r w:rsidR="00075649">
              <w:rPr>
                <w:rFonts w:ascii="Arial" w:eastAsia="Arial" w:hAnsi="Arial" w:cs="Arial"/>
                <w:sz w:val="22"/>
                <w:szCs w:val="22"/>
              </w:rPr>
              <w:t>reating</w:t>
            </w:r>
            <w:r>
              <w:rPr>
                <w:rFonts w:ascii="Arial" w:eastAsia="Arial" w:hAnsi="Arial" w:cs="Arial"/>
                <w:sz w:val="22"/>
                <w:szCs w:val="22"/>
              </w:rPr>
              <w:t xml:space="preserve"> a </w:t>
            </w:r>
            <w:proofErr w:type="spellStart"/>
            <w:r>
              <w:rPr>
                <w:rFonts w:ascii="Arial" w:eastAsia="Arial" w:hAnsi="Arial" w:cs="Arial"/>
                <w:sz w:val="22"/>
                <w:szCs w:val="22"/>
              </w:rPr>
              <w:t>qausi</w:t>
            </w:r>
            <w:proofErr w:type="spellEnd"/>
            <w:r w:rsidR="00075649">
              <w:rPr>
                <w:rFonts w:ascii="Arial" w:eastAsia="Arial" w:hAnsi="Arial" w:cs="Arial"/>
                <w:sz w:val="22"/>
                <w:szCs w:val="22"/>
              </w:rPr>
              <w:t>-</w:t>
            </w:r>
            <w:r>
              <w:rPr>
                <w:rFonts w:ascii="Arial" w:eastAsia="Arial" w:hAnsi="Arial" w:cs="Arial"/>
                <w:sz w:val="22"/>
                <w:szCs w:val="22"/>
              </w:rPr>
              <w:t xml:space="preserve">structured questionnaire to survey </w:t>
            </w:r>
            <w:r w:rsidR="00075649">
              <w:rPr>
                <w:rFonts w:ascii="Arial" w:eastAsia="Arial" w:hAnsi="Arial" w:cs="Arial"/>
                <w:sz w:val="22"/>
                <w:szCs w:val="22"/>
              </w:rPr>
              <w:t>staff and students at UAL. Initially my plan was to use the questionnaire to inform the content of the video essay- but the 1</w:t>
            </w:r>
            <w:r w:rsidR="00075649" w:rsidRPr="00075649">
              <w:rPr>
                <w:rFonts w:ascii="Arial" w:eastAsia="Arial" w:hAnsi="Arial" w:cs="Arial"/>
                <w:sz w:val="22"/>
                <w:szCs w:val="22"/>
                <w:vertAlign w:val="superscript"/>
              </w:rPr>
              <w:t>st</w:t>
            </w:r>
            <w:r w:rsidR="00075649">
              <w:rPr>
                <w:rFonts w:ascii="Arial" w:eastAsia="Arial" w:hAnsi="Arial" w:cs="Arial"/>
                <w:sz w:val="22"/>
                <w:szCs w:val="22"/>
              </w:rPr>
              <w:t xml:space="preserve"> draft became very leading. Now the research purpose is to engage participants on both content delivery for the video essay and the video essay as a mechanism of delivery.</w:t>
            </w:r>
          </w:p>
          <w:p w14:paraId="02EA5E8A" w14:textId="77777777" w:rsidR="00885AE2" w:rsidRDefault="00000000">
            <w:pPr>
              <w:numPr>
                <w:ilvl w:val="0"/>
                <w:numId w:val="2"/>
              </w:numPr>
              <w:rPr>
                <w:rFonts w:ascii="Arial" w:eastAsia="Arial" w:hAnsi="Arial" w:cs="Arial"/>
                <w:sz w:val="22"/>
                <w:szCs w:val="22"/>
              </w:rPr>
            </w:pPr>
            <w:r>
              <w:rPr>
                <w:rFonts w:ascii="Arial" w:eastAsia="Arial" w:hAnsi="Arial" w:cs="Arial"/>
                <w:sz w:val="22"/>
                <w:szCs w:val="22"/>
              </w:rPr>
              <w:t>The platforms I aim to disseminate my video essay on will be YouTube as a video hosting site and that could then be shared as a link with people worldwide or embedded into Moodle or Padlet for UAL. Using YouTube will also give me an advantage as it will provide analytics for me to further scrutinise.</w:t>
            </w:r>
          </w:p>
          <w:p w14:paraId="74397A91" w14:textId="77777777" w:rsidR="00885AE2" w:rsidRDefault="00000000">
            <w:pPr>
              <w:numPr>
                <w:ilvl w:val="0"/>
                <w:numId w:val="2"/>
              </w:numPr>
              <w:rPr>
                <w:rFonts w:ascii="Arial" w:eastAsia="Arial" w:hAnsi="Arial" w:cs="Arial"/>
                <w:sz w:val="22"/>
                <w:szCs w:val="22"/>
              </w:rPr>
            </w:pPr>
            <w:r>
              <w:rPr>
                <w:rFonts w:ascii="Arial" w:eastAsia="Arial" w:hAnsi="Arial" w:cs="Arial"/>
                <w:sz w:val="22"/>
                <w:szCs w:val="22"/>
              </w:rPr>
              <w:t xml:space="preserve">Due to the nature of my specialist technical role in the Media Studios at Central Saint Martins, I will be able to potentially embed this video on to our Moodle page, and since I teach heavily on the MA Performance Screen course- I have created a dedicated Padlet for that course with many resources, so it is an ideal place to embed my video. I will also be able to screen this to students for </w:t>
            </w:r>
            <w:proofErr w:type="gramStart"/>
            <w:r>
              <w:rPr>
                <w:rFonts w:ascii="Arial" w:eastAsia="Arial" w:hAnsi="Arial" w:cs="Arial"/>
                <w:sz w:val="22"/>
                <w:szCs w:val="22"/>
              </w:rPr>
              <w:t>Earth day</w:t>
            </w:r>
            <w:proofErr w:type="gramEnd"/>
            <w:r>
              <w:rPr>
                <w:rFonts w:ascii="Arial" w:eastAsia="Arial" w:hAnsi="Arial" w:cs="Arial"/>
                <w:sz w:val="22"/>
                <w:szCs w:val="22"/>
              </w:rPr>
              <w:t xml:space="preserve"> on the 22</w:t>
            </w:r>
            <w:r>
              <w:rPr>
                <w:rFonts w:ascii="Arial" w:eastAsia="Arial" w:hAnsi="Arial" w:cs="Arial"/>
                <w:sz w:val="22"/>
                <w:szCs w:val="22"/>
                <w:vertAlign w:val="superscript"/>
              </w:rPr>
              <w:t>nd</w:t>
            </w:r>
            <w:r>
              <w:rPr>
                <w:rFonts w:ascii="Arial" w:eastAsia="Arial" w:hAnsi="Arial" w:cs="Arial"/>
                <w:sz w:val="22"/>
                <w:szCs w:val="22"/>
              </w:rPr>
              <w:t xml:space="preserve"> of April 2024. As I have volunteered to be a climate champion for my department, I also will have the opportunity to liaise with the climate network at CSM but also wider UAL about screening.</w:t>
            </w:r>
          </w:p>
        </w:tc>
      </w:tr>
      <w:tr w:rsidR="00885AE2" w14:paraId="2E76DA14" w14:textId="77777777">
        <w:trPr>
          <w:trHeight w:val="65"/>
        </w:trPr>
        <w:tc>
          <w:tcPr>
            <w:tcW w:w="8613" w:type="dxa"/>
          </w:tcPr>
          <w:p w14:paraId="55A65076" w14:textId="77777777" w:rsidR="00885AE2" w:rsidRDefault="00000000">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What are you going to read about?</w:t>
            </w:r>
            <w:r>
              <w:rPr>
                <w:rFonts w:ascii="Calibri" w:eastAsia="Calibri" w:hAnsi="Calibri" w:cs="Calibri"/>
                <w:color w:val="000000"/>
                <w:sz w:val="22"/>
                <w:szCs w:val="22"/>
              </w:rPr>
              <w:t xml:space="preserve"> </w:t>
            </w:r>
            <w:r>
              <w:br/>
            </w:r>
          </w:p>
          <w:p w14:paraId="68699688" w14:textId="77777777" w:rsidR="00885AE2" w:rsidRDefault="00000000">
            <w:pPr>
              <w:rPr>
                <w:rFonts w:ascii="Calibri" w:eastAsia="Calibri" w:hAnsi="Calibri" w:cs="Calibri"/>
                <w:sz w:val="22"/>
                <w:szCs w:val="22"/>
              </w:rPr>
            </w:pPr>
            <w:r>
              <w:rPr>
                <w:rFonts w:ascii="Calibri" w:eastAsia="Calibri" w:hAnsi="Calibri" w:cs="Calibri"/>
                <w:sz w:val="22"/>
                <w:szCs w:val="22"/>
              </w:rPr>
              <w:t>Cobalt Red by Siddharth Kara 2023</w:t>
            </w:r>
          </w:p>
          <w:p w14:paraId="35C0CD2D" w14:textId="77777777" w:rsidR="00885AE2" w:rsidRDefault="00000000">
            <w:pPr>
              <w:shd w:val="clear" w:color="auto" w:fill="FFFFFF"/>
              <w:spacing w:before="360"/>
              <w:rPr>
                <w:rFonts w:ascii="Roboto" w:eastAsia="Roboto" w:hAnsi="Roboto" w:cs="Roboto"/>
                <w:sz w:val="22"/>
                <w:szCs w:val="22"/>
              </w:rPr>
            </w:pPr>
            <w:r>
              <w:rPr>
                <w:rFonts w:ascii="Roboto" w:eastAsia="Roboto" w:hAnsi="Roboto" w:cs="Roboto"/>
                <w:sz w:val="22"/>
                <w:szCs w:val="22"/>
              </w:rPr>
              <w:lastRenderedPageBreak/>
              <w:t>Amnesty International, 2016. “This is What We Die For”: Human Rights Abuses in the Democratic Republic of the Congo Power the Global Trade in Cobalt. Available at: www.amnesty.org/en/documents/afr62/3183/2016/en/ [Accessed 27 May 2024].</w:t>
            </w:r>
          </w:p>
          <w:p w14:paraId="408C1528" w14:textId="77777777" w:rsidR="00885AE2" w:rsidRDefault="00000000">
            <w:pPr>
              <w:shd w:val="clear" w:color="auto" w:fill="FFFFFF"/>
              <w:spacing w:before="360"/>
              <w:rPr>
                <w:rFonts w:ascii="Roboto" w:eastAsia="Roboto" w:hAnsi="Roboto" w:cs="Roboto"/>
                <w:sz w:val="22"/>
                <w:szCs w:val="22"/>
              </w:rPr>
            </w:pPr>
            <w:r>
              <w:rPr>
                <w:rFonts w:ascii="Roboto" w:eastAsia="Roboto" w:hAnsi="Roboto" w:cs="Roboto"/>
                <w:sz w:val="22"/>
                <w:szCs w:val="22"/>
              </w:rPr>
              <w:t xml:space="preserve">Benjamin, R., 2019. </w:t>
            </w:r>
            <w:r>
              <w:rPr>
                <w:rFonts w:ascii="Roboto" w:eastAsia="Roboto" w:hAnsi="Roboto" w:cs="Roboto"/>
                <w:i/>
                <w:sz w:val="22"/>
                <w:szCs w:val="22"/>
              </w:rPr>
              <w:t>Race After Technology: Abolitionist Tools for the New Jim Code</w:t>
            </w:r>
            <w:r>
              <w:rPr>
                <w:rFonts w:ascii="Roboto" w:eastAsia="Roboto" w:hAnsi="Roboto" w:cs="Roboto"/>
                <w:sz w:val="22"/>
                <w:szCs w:val="22"/>
              </w:rPr>
              <w:t>. Cambridge: Polity Press.</w:t>
            </w:r>
          </w:p>
          <w:p w14:paraId="59148941" w14:textId="77777777" w:rsidR="00885AE2" w:rsidRDefault="00885AE2">
            <w:pPr>
              <w:rPr>
                <w:rFonts w:ascii="Calibri" w:eastAsia="Calibri" w:hAnsi="Calibri" w:cs="Calibri"/>
                <w:sz w:val="22"/>
                <w:szCs w:val="22"/>
              </w:rPr>
            </w:pPr>
          </w:p>
          <w:p w14:paraId="03E267C5" w14:textId="77777777" w:rsidR="00885AE2" w:rsidRDefault="00000000">
            <w:pPr>
              <w:shd w:val="clear" w:color="auto" w:fill="FFFFFF"/>
              <w:spacing w:before="360"/>
              <w:rPr>
                <w:rFonts w:ascii="Roboto" w:eastAsia="Roboto" w:hAnsi="Roboto" w:cs="Roboto"/>
                <w:color w:val="1155CC"/>
                <w:sz w:val="22"/>
                <w:szCs w:val="22"/>
                <w:u w:val="single"/>
              </w:rPr>
            </w:pPr>
            <w:r>
              <w:rPr>
                <w:rFonts w:ascii="Roboto" w:eastAsia="Roboto" w:hAnsi="Roboto" w:cs="Roboto"/>
                <w:sz w:val="22"/>
                <w:szCs w:val="22"/>
              </w:rPr>
              <w:t xml:space="preserve">Cobalt Institute. (n.d.). </w:t>
            </w:r>
            <w:r>
              <w:rPr>
                <w:rFonts w:ascii="Roboto" w:eastAsia="Roboto" w:hAnsi="Roboto" w:cs="Roboto"/>
                <w:i/>
                <w:sz w:val="22"/>
                <w:szCs w:val="22"/>
              </w:rPr>
              <w:t>Cobalt mining</w:t>
            </w:r>
            <w:r>
              <w:rPr>
                <w:rFonts w:ascii="Roboto" w:eastAsia="Roboto" w:hAnsi="Roboto" w:cs="Roboto"/>
                <w:sz w:val="22"/>
                <w:szCs w:val="22"/>
              </w:rPr>
              <w:t xml:space="preserve">. Retrieved July 23, 2024, from </w:t>
            </w:r>
            <w:hyperlink r:id="rId8">
              <w:r>
                <w:rPr>
                  <w:rFonts w:ascii="Roboto" w:eastAsia="Roboto" w:hAnsi="Roboto" w:cs="Roboto"/>
                  <w:color w:val="1155CC"/>
                  <w:sz w:val="22"/>
                  <w:szCs w:val="22"/>
                  <w:u w:val="single"/>
                </w:rPr>
                <w:t>https://www.cobaltinstitute.org/about-cobalt/cobalt-life-cycle/cobalt-mining/</w:t>
              </w:r>
            </w:hyperlink>
          </w:p>
          <w:p w14:paraId="1FB3AC49" w14:textId="77777777" w:rsidR="00885AE2" w:rsidRDefault="00885AE2">
            <w:pPr>
              <w:rPr>
                <w:rFonts w:ascii="Calibri" w:eastAsia="Calibri" w:hAnsi="Calibri" w:cs="Calibri"/>
                <w:sz w:val="22"/>
                <w:szCs w:val="22"/>
              </w:rPr>
            </w:pPr>
          </w:p>
          <w:p w14:paraId="4AE53D71" w14:textId="77777777" w:rsidR="00885AE2" w:rsidRDefault="00000000">
            <w:pPr>
              <w:rPr>
                <w:rFonts w:ascii="Calibri" w:eastAsia="Calibri" w:hAnsi="Calibri" w:cs="Calibri"/>
                <w:sz w:val="22"/>
                <w:szCs w:val="22"/>
              </w:rPr>
            </w:pPr>
            <w:r>
              <w:rPr>
                <w:rFonts w:ascii="Roboto" w:eastAsia="Roboto" w:hAnsi="Roboto" w:cs="Roboto"/>
                <w:sz w:val="22"/>
                <w:szCs w:val="22"/>
                <w:highlight w:val="white"/>
              </w:rPr>
              <w:t xml:space="preserve">Free the Slaves (2013) </w:t>
            </w:r>
            <w:r>
              <w:rPr>
                <w:rFonts w:ascii="Roboto" w:eastAsia="Roboto" w:hAnsi="Roboto" w:cs="Roboto"/>
                <w:i/>
                <w:sz w:val="22"/>
                <w:szCs w:val="22"/>
                <w:highlight w:val="white"/>
              </w:rPr>
              <w:t>The Congo Report: Slavery in Conflict Minerals</w:t>
            </w:r>
            <w:r>
              <w:rPr>
                <w:rFonts w:ascii="Roboto" w:eastAsia="Roboto" w:hAnsi="Roboto" w:cs="Roboto"/>
                <w:sz w:val="22"/>
                <w:szCs w:val="22"/>
                <w:highlight w:val="white"/>
              </w:rPr>
              <w:t xml:space="preserve">. Available at: </w:t>
            </w:r>
            <w:hyperlink r:id="rId9">
              <w:r>
                <w:rPr>
                  <w:rFonts w:ascii="Roboto" w:eastAsia="Roboto" w:hAnsi="Roboto" w:cs="Roboto"/>
                  <w:color w:val="1155CC"/>
                  <w:sz w:val="22"/>
                  <w:szCs w:val="22"/>
                  <w:highlight w:val="white"/>
                  <w:u w:val="single"/>
                </w:rPr>
                <w:t>https://freetheslaves.net/wp-content/uploads/2015/03/Congos-Mining-Slaves-web-130622.pdf</w:t>
              </w:r>
            </w:hyperlink>
            <w:r>
              <w:rPr>
                <w:rFonts w:ascii="Roboto" w:eastAsia="Roboto" w:hAnsi="Roboto" w:cs="Roboto"/>
                <w:sz w:val="22"/>
                <w:szCs w:val="22"/>
                <w:highlight w:val="white"/>
              </w:rPr>
              <w:t xml:space="preserve"> (Accessed: 20 July 2024).</w:t>
            </w:r>
          </w:p>
          <w:p w14:paraId="5772F87B" w14:textId="77777777" w:rsidR="00885AE2" w:rsidRDefault="00885AE2">
            <w:pPr>
              <w:rPr>
                <w:rFonts w:ascii="Calibri" w:eastAsia="Calibri" w:hAnsi="Calibri" w:cs="Calibri"/>
                <w:sz w:val="22"/>
                <w:szCs w:val="22"/>
              </w:rPr>
            </w:pPr>
          </w:p>
          <w:p w14:paraId="70B37E1E" w14:textId="77777777" w:rsidR="00885AE2" w:rsidRDefault="00000000">
            <w:pPr>
              <w:rPr>
                <w:rFonts w:ascii="Calibri" w:eastAsia="Calibri" w:hAnsi="Calibri" w:cs="Calibri"/>
                <w:sz w:val="22"/>
                <w:szCs w:val="22"/>
              </w:rPr>
            </w:pPr>
            <w:r>
              <w:rPr>
                <w:rFonts w:ascii="Calibri" w:eastAsia="Calibri" w:hAnsi="Calibri" w:cs="Calibri"/>
                <w:sz w:val="22"/>
                <w:szCs w:val="22"/>
              </w:rPr>
              <w:t xml:space="preserve">UAL Climate Policy: UAL Climate, Racial and Social Justice Principles  </w:t>
            </w:r>
            <w:hyperlink r:id="rId10">
              <w:r>
                <w:rPr>
                  <w:rFonts w:ascii="Calibri" w:eastAsia="Calibri" w:hAnsi="Calibri" w:cs="Calibri"/>
                  <w:sz w:val="22"/>
                  <w:szCs w:val="22"/>
                </w:rPr>
                <w:t>Laura Knight</w:t>
              </w:r>
            </w:hyperlink>
            <w:r>
              <w:rPr>
                <w:rFonts w:ascii="Calibri" w:eastAsia="Calibri" w:hAnsi="Calibri" w:cs="Calibri"/>
                <w:sz w:val="22"/>
                <w:szCs w:val="22"/>
              </w:rPr>
              <w:t xml:space="preserve"> - </w:t>
            </w:r>
          </w:p>
          <w:p w14:paraId="30FA3345" w14:textId="77777777" w:rsidR="00885AE2" w:rsidRDefault="00000000">
            <w:pPr>
              <w:rPr>
                <w:rFonts w:ascii="Calibri" w:eastAsia="Calibri" w:hAnsi="Calibri" w:cs="Calibri"/>
                <w:sz w:val="22"/>
                <w:szCs w:val="22"/>
              </w:rPr>
            </w:pPr>
            <w:r>
              <w:rPr>
                <w:rFonts w:ascii="Calibri" w:eastAsia="Calibri" w:hAnsi="Calibri" w:cs="Calibri"/>
                <w:sz w:val="22"/>
                <w:szCs w:val="22"/>
              </w:rPr>
              <w:t xml:space="preserve">MA Communicating Complexity 1 Dec 2022 </w:t>
            </w:r>
          </w:p>
          <w:p w14:paraId="098DA6FA" w14:textId="77777777" w:rsidR="00885AE2" w:rsidRDefault="00885AE2">
            <w:pPr>
              <w:rPr>
                <w:rFonts w:ascii="Calibri" w:eastAsia="Calibri" w:hAnsi="Calibri" w:cs="Calibri"/>
                <w:sz w:val="22"/>
                <w:szCs w:val="22"/>
              </w:rPr>
            </w:pPr>
          </w:p>
          <w:p w14:paraId="1A4B6E2F" w14:textId="77777777" w:rsidR="00885AE2" w:rsidRDefault="00000000">
            <w:pPr>
              <w:pStyle w:val="Heading1"/>
              <w:shd w:val="clear" w:color="auto" w:fill="FFFFFF"/>
              <w:spacing w:before="0" w:after="180"/>
              <w:rPr>
                <w:rFonts w:ascii="Calibri" w:eastAsia="Calibri" w:hAnsi="Calibri" w:cs="Calibri"/>
                <w:b w:val="0"/>
                <w:color w:val="000000"/>
                <w:sz w:val="22"/>
                <w:szCs w:val="22"/>
              </w:rPr>
            </w:pPr>
            <w:r>
              <w:rPr>
                <w:rFonts w:ascii="Open Sans" w:eastAsia="Open Sans" w:hAnsi="Open Sans" w:cs="Open Sans"/>
                <w:b w:val="0"/>
                <w:color w:val="000000"/>
                <w:sz w:val="22"/>
                <w:szCs w:val="22"/>
              </w:rPr>
              <w:t>What Are the Key Stages of Developing an Interview Guide?</w:t>
            </w:r>
            <w:r>
              <w:br/>
            </w:r>
            <w:proofErr w:type="spellStart"/>
            <w:r>
              <w:rPr>
                <w:rFonts w:ascii="Calibri" w:eastAsia="Calibri" w:hAnsi="Calibri" w:cs="Calibri"/>
                <w:b w:val="0"/>
                <w:color w:val="000000"/>
                <w:sz w:val="22"/>
                <w:szCs w:val="22"/>
              </w:rPr>
              <w:t>Dr.</w:t>
            </w:r>
            <w:proofErr w:type="spellEnd"/>
            <w:r>
              <w:rPr>
                <w:rFonts w:ascii="Calibri" w:eastAsia="Calibri" w:hAnsi="Calibri" w:cs="Calibri"/>
                <w:b w:val="0"/>
                <w:color w:val="000000"/>
                <w:sz w:val="22"/>
                <w:szCs w:val="22"/>
              </w:rPr>
              <w:t xml:space="preserve"> </w:t>
            </w:r>
            <w:r>
              <w:rPr>
                <w:rFonts w:ascii="Open Sans" w:eastAsia="Open Sans" w:hAnsi="Open Sans" w:cs="Open Sans"/>
                <w:b w:val="0"/>
                <w:color w:val="000000"/>
                <w:sz w:val="22"/>
                <w:szCs w:val="22"/>
              </w:rPr>
              <w:t>Katy Wheeler</w:t>
            </w:r>
          </w:p>
          <w:p w14:paraId="5ACEBEBD" w14:textId="77777777" w:rsidR="00885AE2" w:rsidRDefault="00000000">
            <w:pPr>
              <w:rPr>
                <w:rFonts w:ascii="Calibri" w:eastAsia="Calibri" w:hAnsi="Calibri" w:cs="Calibri"/>
                <w:sz w:val="22"/>
                <w:szCs w:val="22"/>
              </w:rPr>
            </w:pPr>
            <w:r>
              <w:rPr>
                <w:rFonts w:ascii="Quattrocento Sans" w:eastAsia="Quattrocento Sans" w:hAnsi="Quattrocento Sans" w:cs="Quattrocento Sans"/>
                <w:color w:val="0000EE"/>
                <w:sz w:val="18"/>
                <w:szCs w:val="18"/>
              </w:rPr>
              <w:t>h</w:t>
            </w:r>
            <w:hyperlink r:id="rId11">
              <w:r>
                <w:rPr>
                  <w:rFonts w:ascii="Quattrocento Sans" w:eastAsia="Quattrocento Sans" w:hAnsi="Quattrocento Sans" w:cs="Quattrocento Sans"/>
                  <w:color w:val="0000EE"/>
                  <w:sz w:val="18"/>
                  <w:szCs w:val="18"/>
                  <w:u w:val="single"/>
                </w:rPr>
                <w:t>ttps://methods-sagepub-com.arts.idm.oclc.org/video/what-are-the-key-stages-of-developing-an-interview-guide</w:t>
              </w:r>
            </w:hyperlink>
          </w:p>
          <w:p w14:paraId="4878454E" w14:textId="77777777" w:rsidR="00885AE2" w:rsidRDefault="00885AE2">
            <w:pPr>
              <w:rPr>
                <w:rFonts w:ascii="Calibri" w:eastAsia="Calibri" w:hAnsi="Calibri" w:cs="Calibri"/>
                <w:sz w:val="22"/>
                <w:szCs w:val="22"/>
              </w:rPr>
            </w:pPr>
          </w:p>
          <w:p w14:paraId="4907A9B6" w14:textId="77777777" w:rsidR="00885AE2" w:rsidRDefault="00000000">
            <w:pPr>
              <w:rPr>
                <w:rFonts w:ascii="Calibri" w:eastAsia="Calibri" w:hAnsi="Calibri" w:cs="Calibri"/>
              </w:rPr>
            </w:pPr>
            <w:r>
              <w:rPr>
                <w:rFonts w:ascii="Calibri" w:eastAsia="Calibri" w:hAnsi="Calibri" w:cs="Calibri"/>
                <w:sz w:val="22"/>
                <w:szCs w:val="22"/>
              </w:rPr>
              <w:t xml:space="preserve">Alvesson M 2012: </w:t>
            </w:r>
            <w:r>
              <w:rPr>
                <w:rFonts w:ascii="Calibri" w:eastAsia="Calibri" w:hAnsi="Calibri" w:cs="Calibri"/>
                <w:color w:val="555555"/>
                <w:sz w:val="22"/>
                <w:szCs w:val="22"/>
              </w:rPr>
              <w:t xml:space="preserve">Views on Interviews: A Sceptical Review </w:t>
            </w:r>
            <w:hyperlink r:id="rId12">
              <w:r>
                <w:rPr>
                  <w:rFonts w:ascii="Calibri" w:eastAsia="Calibri" w:hAnsi="Calibri" w:cs="Calibri"/>
                  <w:color w:val="0000FF"/>
                  <w:u w:val="single"/>
                </w:rPr>
                <w:t>https://doi.org/10.4135/9781446268353.n2</w:t>
              </w:r>
            </w:hyperlink>
          </w:p>
          <w:p w14:paraId="460685EE" w14:textId="77777777" w:rsidR="00885AE2" w:rsidRDefault="00000000">
            <w:pPr>
              <w:rPr>
                <w:rFonts w:ascii="Calibri" w:eastAsia="Calibri" w:hAnsi="Calibri" w:cs="Calibri"/>
              </w:rPr>
            </w:pPr>
            <w:hyperlink r:id="rId13">
              <w:r>
                <w:rPr>
                  <w:rFonts w:ascii="Calibri" w:eastAsia="Calibri" w:hAnsi="Calibri" w:cs="Calibri"/>
                  <w:color w:val="0000FF"/>
                  <w:u w:val="single"/>
                </w:rPr>
                <w:t>https://methods-sagepub-com.arts.idm.oclc.org/book/interpreting-interviews/n2.xml</w:t>
              </w:r>
            </w:hyperlink>
          </w:p>
          <w:p w14:paraId="034CDB00" w14:textId="77777777" w:rsidR="00885AE2" w:rsidRDefault="00885AE2">
            <w:pPr>
              <w:rPr>
                <w:rFonts w:ascii="Calibri" w:eastAsia="Calibri" w:hAnsi="Calibri" w:cs="Calibri"/>
              </w:rPr>
            </w:pPr>
          </w:p>
          <w:p w14:paraId="367A32D1" w14:textId="77777777" w:rsidR="00885AE2" w:rsidRDefault="00000000">
            <w:pPr>
              <w:pStyle w:val="Heading4"/>
              <w:spacing w:before="0" w:after="0"/>
              <w:rPr>
                <w:rFonts w:ascii="Calibri" w:eastAsia="Calibri" w:hAnsi="Calibri" w:cs="Calibri"/>
                <w:b w:val="0"/>
                <w:sz w:val="22"/>
                <w:szCs w:val="22"/>
              </w:rPr>
            </w:pPr>
            <w:r>
              <w:rPr>
                <w:rFonts w:ascii="Calibri" w:eastAsia="Calibri" w:hAnsi="Calibri" w:cs="Calibri"/>
                <w:b w:val="0"/>
                <w:sz w:val="22"/>
                <w:szCs w:val="22"/>
              </w:rPr>
              <w:t>Annie Irvine, Paul Drew, Roy Sainsbury 2012</w:t>
            </w:r>
          </w:p>
          <w:p w14:paraId="08FC4F07" w14:textId="77777777" w:rsidR="00885AE2" w:rsidRDefault="00000000">
            <w:pPr>
              <w:pStyle w:val="Heading1"/>
              <w:shd w:val="clear" w:color="auto" w:fill="FFFFFF"/>
              <w:spacing w:before="120" w:after="240"/>
              <w:rPr>
                <w:rFonts w:ascii="Calibri" w:eastAsia="Calibri" w:hAnsi="Calibri" w:cs="Calibri"/>
                <w:sz w:val="22"/>
                <w:szCs w:val="22"/>
              </w:rPr>
            </w:pPr>
            <w:r>
              <w:rPr>
                <w:rFonts w:ascii="Calibri" w:eastAsia="Calibri" w:hAnsi="Calibri" w:cs="Calibri"/>
                <w:color w:val="555555"/>
                <w:sz w:val="22"/>
                <w:szCs w:val="22"/>
              </w:rPr>
              <w:t xml:space="preserve">‘Am I not answering your questions properly?’ Clarification, adequacy and responsiveness in semi-structured telephone and face-to-face interviews </w:t>
            </w:r>
            <w:hyperlink r:id="rId14">
              <w:r>
                <w:rPr>
                  <w:rFonts w:ascii="Calibri" w:eastAsia="Calibri" w:hAnsi="Calibri" w:cs="Calibri"/>
                  <w:b w:val="0"/>
                  <w:color w:val="0000FF"/>
                  <w:sz w:val="22"/>
                  <w:szCs w:val="22"/>
                </w:rPr>
                <w:t>https://doi-org.arts.idm.oclc.org/10.1177/1468794112439086</w:t>
              </w:r>
            </w:hyperlink>
          </w:p>
          <w:p w14:paraId="52707484" w14:textId="77777777" w:rsidR="00885AE2" w:rsidRDefault="00000000">
            <w:pPr>
              <w:rPr>
                <w:rFonts w:ascii="Calibri" w:eastAsia="Calibri" w:hAnsi="Calibri" w:cs="Calibri"/>
              </w:rPr>
            </w:pPr>
            <w:r>
              <w:rPr>
                <w:rFonts w:ascii="Calibri" w:eastAsia="Calibri" w:hAnsi="Calibri" w:cs="Calibri"/>
              </w:rPr>
              <w:t xml:space="preserve">Seidman, I. (2019). </w:t>
            </w:r>
            <w:r>
              <w:rPr>
                <w:rFonts w:ascii="Calibri" w:eastAsia="Calibri" w:hAnsi="Calibri" w:cs="Calibri"/>
                <w:i/>
              </w:rPr>
              <w:t>Interviewing as Qualitative Research: A Guide for Researchers in Education and the Social Sciences</w:t>
            </w:r>
            <w:r>
              <w:rPr>
                <w:rFonts w:ascii="Calibri" w:eastAsia="Calibri" w:hAnsi="Calibri" w:cs="Calibri"/>
              </w:rPr>
              <w:t>. Teachers College Press.</w:t>
            </w:r>
          </w:p>
          <w:p w14:paraId="3F32D5E7" w14:textId="77777777" w:rsidR="00885AE2" w:rsidRDefault="00885AE2">
            <w:pPr>
              <w:rPr>
                <w:rFonts w:ascii="Calibri" w:eastAsia="Calibri" w:hAnsi="Calibri" w:cs="Calibri"/>
              </w:rPr>
            </w:pPr>
          </w:p>
          <w:p w14:paraId="1C44D29E" w14:textId="77777777" w:rsidR="00885AE2" w:rsidRDefault="00000000">
            <w:pPr>
              <w:rPr>
                <w:rFonts w:ascii="Calibri" w:eastAsia="Calibri" w:hAnsi="Calibri" w:cs="Calibri"/>
                <w:sz w:val="22"/>
                <w:szCs w:val="22"/>
              </w:rPr>
            </w:pPr>
            <w:r>
              <w:rPr>
                <w:rFonts w:ascii="Calibri" w:eastAsia="Calibri" w:hAnsi="Calibri" w:cs="Calibri"/>
                <w:sz w:val="22"/>
                <w:szCs w:val="22"/>
              </w:rPr>
              <w:t>PEW Research Centre 2021</w:t>
            </w:r>
          </w:p>
          <w:p w14:paraId="1750A6C2" w14:textId="77777777" w:rsidR="00885AE2" w:rsidRDefault="00000000">
            <w:pPr>
              <w:rPr>
                <w:rFonts w:ascii="Calibri" w:eastAsia="Calibri" w:hAnsi="Calibri" w:cs="Calibri"/>
                <w:sz w:val="22"/>
                <w:szCs w:val="22"/>
              </w:rPr>
            </w:pPr>
            <w:r>
              <w:rPr>
                <w:rFonts w:ascii="Calibri" w:eastAsia="Calibri" w:hAnsi="Calibri" w:cs="Calibri"/>
                <w:i/>
                <w:sz w:val="22"/>
                <w:szCs w:val="22"/>
              </w:rPr>
              <w:t>Writing Survey Questions</w:t>
            </w:r>
            <w:r>
              <w:rPr>
                <w:rFonts w:ascii="Calibri" w:eastAsia="Calibri" w:hAnsi="Calibri" w:cs="Calibri"/>
                <w:sz w:val="22"/>
                <w:szCs w:val="22"/>
              </w:rPr>
              <w:t xml:space="preserve">. Available at: </w:t>
            </w:r>
            <w:hyperlink r:id="rId15">
              <w:r>
                <w:rPr>
                  <w:rFonts w:ascii="Calibri" w:eastAsia="Calibri" w:hAnsi="Calibri" w:cs="Calibri"/>
                  <w:color w:val="0000FF"/>
                  <w:sz w:val="22"/>
                  <w:szCs w:val="22"/>
                  <w:u w:val="single"/>
                </w:rPr>
                <w:t>https://www.pewresearch.org/our-methods/u-s-surveys/writing-survey-questions/</w:t>
              </w:r>
            </w:hyperlink>
          </w:p>
          <w:p w14:paraId="0C1A0C2A" w14:textId="77777777" w:rsidR="00885AE2" w:rsidRDefault="00885AE2">
            <w:pPr>
              <w:rPr>
                <w:rFonts w:ascii="Calibri" w:eastAsia="Calibri" w:hAnsi="Calibri" w:cs="Calibri"/>
                <w:color w:val="2E2E2E"/>
                <w:sz w:val="22"/>
                <w:szCs w:val="22"/>
              </w:rPr>
            </w:pPr>
          </w:p>
          <w:p w14:paraId="5E5156C3" w14:textId="77777777" w:rsidR="00885AE2" w:rsidRDefault="00000000">
            <w:pPr>
              <w:pStyle w:val="Heading3"/>
              <w:shd w:val="clear" w:color="auto" w:fill="FFFFFF"/>
              <w:spacing w:before="0" w:after="150" w:line="390" w:lineRule="auto"/>
              <w:rPr>
                <w:rFonts w:ascii="Calibri" w:eastAsia="Calibri" w:hAnsi="Calibri" w:cs="Calibri"/>
              </w:rPr>
            </w:pPr>
            <w:r>
              <w:rPr>
                <w:rFonts w:ascii="Calibri" w:eastAsia="Calibri" w:hAnsi="Calibri" w:cs="Calibri"/>
                <w:b w:val="0"/>
                <w:sz w:val="22"/>
                <w:szCs w:val="22"/>
              </w:rPr>
              <w:lastRenderedPageBreak/>
              <w:t>Converse, J. M., Presser, S. (2011)</w:t>
            </w:r>
            <w:r>
              <w:br/>
            </w:r>
            <w:r>
              <w:rPr>
                <w:rFonts w:ascii="Calibri" w:eastAsia="Calibri" w:hAnsi="Calibri" w:cs="Calibri"/>
                <w:i/>
                <w:sz w:val="22"/>
                <w:szCs w:val="22"/>
              </w:rPr>
              <w:t>Survey questions: handcrafting the standardized questionnaire</w:t>
            </w:r>
            <w:r>
              <w:rPr>
                <w:rFonts w:ascii="Calibri" w:eastAsia="Calibri" w:hAnsi="Calibri" w:cs="Calibri"/>
                <w:sz w:val="22"/>
                <w:szCs w:val="22"/>
              </w:rPr>
              <w:t xml:space="preserve">. Thousand Oaks: Sage. </w:t>
            </w:r>
            <w:hyperlink r:id="rId16">
              <w:r>
                <w:rPr>
                  <w:rFonts w:ascii="Calibri" w:eastAsia="Calibri" w:hAnsi="Calibri" w:cs="Calibri"/>
                  <w:color w:val="0000FF"/>
                  <w:sz w:val="22"/>
                  <w:szCs w:val="22"/>
                  <w:u w:val="single"/>
                </w:rPr>
                <w:t>https://methods-sagepub-com.arts.idm.oclc.org/book/survey-questions/n3.xml</w:t>
              </w:r>
            </w:hyperlink>
          </w:p>
          <w:p w14:paraId="717A56D2" w14:textId="77777777" w:rsidR="00885AE2" w:rsidRDefault="00000000">
            <w:pPr>
              <w:pStyle w:val="Heading3"/>
              <w:shd w:val="clear" w:color="auto" w:fill="FFFFFF"/>
              <w:spacing w:before="0" w:after="150" w:line="390" w:lineRule="auto"/>
              <w:rPr>
                <w:rFonts w:ascii="Calibri" w:eastAsia="Calibri" w:hAnsi="Calibri" w:cs="Calibri"/>
                <w:sz w:val="22"/>
                <w:szCs w:val="22"/>
              </w:rPr>
            </w:pPr>
            <w:r>
              <w:rPr>
                <w:rFonts w:ascii="Calibri" w:eastAsia="Calibri" w:hAnsi="Calibri" w:cs="Calibri"/>
                <w:b w:val="0"/>
                <w:sz w:val="22"/>
                <w:szCs w:val="22"/>
              </w:rPr>
              <w:t xml:space="preserve">- </w:t>
            </w:r>
            <w:proofErr w:type="spellStart"/>
            <w:r>
              <w:rPr>
                <w:rFonts w:ascii="Calibri" w:eastAsia="Calibri" w:hAnsi="Calibri" w:cs="Calibri"/>
                <w:b w:val="0"/>
                <w:sz w:val="22"/>
                <w:szCs w:val="22"/>
              </w:rPr>
              <w:t>Lury</w:t>
            </w:r>
            <w:proofErr w:type="spellEnd"/>
            <w:r>
              <w:rPr>
                <w:rFonts w:ascii="Calibri" w:eastAsia="Calibri" w:hAnsi="Calibri" w:cs="Calibri"/>
                <w:b w:val="0"/>
                <w:sz w:val="22"/>
                <w:szCs w:val="22"/>
              </w:rPr>
              <w:t>, C. &amp; Wakeford, N. (2012)</w:t>
            </w:r>
            <w:r>
              <w:br/>
            </w:r>
            <w:r>
              <w:rPr>
                <w:rFonts w:ascii="Calibri" w:eastAsia="Calibri" w:hAnsi="Calibri" w:cs="Calibri"/>
                <w:sz w:val="22"/>
                <w:szCs w:val="22"/>
              </w:rPr>
              <w:t>Inventive Methods: The happening of the social. Taylor &amp; Francis.</w:t>
            </w:r>
            <w:r>
              <w:br/>
            </w:r>
            <w:r>
              <w:rPr>
                <w:rFonts w:ascii="Calibri" w:eastAsia="Calibri" w:hAnsi="Calibri" w:cs="Calibri"/>
                <w:sz w:val="22"/>
                <w:szCs w:val="22"/>
              </w:rPr>
              <w:t xml:space="preserve"> </w:t>
            </w:r>
            <w:hyperlink r:id="rId17">
              <w:r>
                <w:rPr>
                  <w:rFonts w:ascii="Calibri" w:eastAsia="Calibri" w:hAnsi="Calibri" w:cs="Calibri"/>
                  <w:color w:val="0000FF"/>
                  <w:sz w:val="22"/>
                  <w:szCs w:val="22"/>
                  <w:u w:val="single"/>
                </w:rPr>
                <w:t>https://libsearch.arts.ac.uk/cgi-bin/koha/opac-detail.pl?biblionumber=812606&amp;query_desc=kw%2Cwrdl%3A%20inventive%20methods</w:t>
              </w:r>
            </w:hyperlink>
          </w:p>
          <w:p w14:paraId="7D61AA46" w14:textId="77777777" w:rsidR="00885AE2" w:rsidRDefault="00885AE2">
            <w:pPr>
              <w:rPr>
                <w:rFonts w:ascii="Calibri" w:eastAsia="Calibri" w:hAnsi="Calibri" w:cs="Calibri"/>
                <w:sz w:val="22"/>
                <w:szCs w:val="22"/>
              </w:rPr>
            </w:pPr>
          </w:p>
          <w:p w14:paraId="26CE4687" w14:textId="77777777" w:rsidR="00885AE2" w:rsidRDefault="00000000">
            <w:pPr>
              <w:rPr>
                <w:rFonts w:ascii="Calibri" w:eastAsia="Calibri" w:hAnsi="Calibri" w:cs="Calibri"/>
                <w:sz w:val="22"/>
                <w:szCs w:val="22"/>
              </w:rPr>
            </w:pPr>
            <w:r>
              <w:rPr>
                <w:rFonts w:ascii="Calibri" w:eastAsia="Calibri" w:hAnsi="Calibri" w:cs="Calibri"/>
                <w:sz w:val="22"/>
                <w:szCs w:val="22"/>
              </w:rPr>
              <w:t>BERA-</w:t>
            </w:r>
            <w:hyperlink r:id="rId18">
              <w:r>
                <w:rPr>
                  <w:rFonts w:ascii="Calibri" w:eastAsia="Calibri" w:hAnsi="Calibri" w:cs="Calibri"/>
                  <w:sz w:val="22"/>
                  <w:szCs w:val="22"/>
                  <w:highlight w:val="white"/>
                  <w:u w:val="single"/>
                </w:rPr>
                <w:t>Ethical Guidelines for Educational Research, fifth edition (2024)</w:t>
              </w:r>
            </w:hyperlink>
          </w:p>
          <w:p w14:paraId="52746FB3" w14:textId="77777777" w:rsidR="00885AE2" w:rsidRDefault="00000000">
            <w:pPr>
              <w:spacing w:before="240" w:after="240" w:line="335" w:lineRule="auto"/>
              <w:rPr>
                <w:rFonts w:ascii="Calibri" w:eastAsia="Calibri" w:hAnsi="Calibri" w:cs="Calibri"/>
                <w:sz w:val="22"/>
                <w:szCs w:val="22"/>
              </w:rPr>
            </w:pPr>
            <w:r>
              <w:rPr>
                <w:rFonts w:ascii="Calibri" w:eastAsia="Calibri" w:hAnsi="Calibri" w:cs="Calibri"/>
                <w:sz w:val="22"/>
                <w:szCs w:val="22"/>
              </w:rPr>
              <w:t xml:space="preserve">"Art-Based Action Research in the Development Work of Arts and Art Education" by Timo Jokela and Maria </w:t>
            </w:r>
            <w:proofErr w:type="spellStart"/>
            <w:r>
              <w:rPr>
                <w:rFonts w:ascii="Calibri" w:eastAsia="Calibri" w:hAnsi="Calibri" w:cs="Calibri"/>
                <w:sz w:val="22"/>
                <w:szCs w:val="22"/>
              </w:rPr>
              <w:t>Huhmarniemi</w:t>
            </w:r>
            <w:proofErr w:type="spellEnd"/>
            <w:r>
              <w:rPr>
                <w:rFonts w:ascii="Calibri" w:eastAsia="Calibri" w:hAnsi="Calibri" w:cs="Calibri"/>
                <w:sz w:val="22"/>
                <w:szCs w:val="22"/>
              </w:rPr>
              <w:t xml:space="preserve"> 2019</w:t>
            </w:r>
          </w:p>
          <w:p w14:paraId="57EE0AE1" w14:textId="77777777" w:rsidR="00885AE2" w:rsidRDefault="00000000">
            <w:pPr>
              <w:spacing w:before="240" w:after="240" w:line="335" w:lineRule="auto"/>
              <w:rPr>
                <w:rFonts w:ascii="Calibri" w:eastAsia="Calibri" w:hAnsi="Calibri" w:cs="Calibri"/>
                <w:sz w:val="22"/>
                <w:szCs w:val="22"/>
              </w:rPr>
            </w:pPr>
            <w:r>
              <w:rPr>
                <w:rFonts w:ascii="Calibri" w:eastAsia="Calibri" w:hAnsi="Calibri" w:cs="Calibri"/>
                <w:sz w:val="22"/>
                <w:szCs w:val="22"/>
              </w:rPr>
              <w:t>How to do media and cultural studies- Jane Stokes 2002</w:t>
            </w:r>
          </w:p>
          <w:p w14:paraId="6224464F" w14:textId="77777777" w:rsidR="00885AE2" w:rsidRDefault="00000000">
            <w:pPr>
              <w:spacing w:before="240" w:after="240" w:line="335" w:lineRule="auto"/>
              <w:rPr>
                <w:rFonts w:ascii="Calibri" w:eastAsia="Calibri" w:hAnsi="Calibri" w:cs="Calibri"/>
                <w:sz w:val="22"/>
                <w:szCs w:val="22"/>
              </w:rPr>
            </w:pPr>
            <w:r>
              <w:rPr>
                <w:rFonts w:ascii="Calibri" w:eastAsia="Calibri" w:hAnsi="Calibri" w:cs="Calibri"/>
                <w:sz w:val="22"/>
                <w:szCs w:val="22"/>
              </w:rPr>
              <w:t>https://www.gov.uk/data-protection#:~:text=The%20Data%20Protection%20Act%202018%20is%20the%20UK's%20implementation%20of,called%20'data%20protection%20principles'.</w:t>
            </w:r>
          </w:p>
          <w:p w14:paraId="24AA261C" w14:textId="77777777" w:rsidR="00885AE2" w:rsidRDefault="00000000">
            <w:pPr>
              <w:rPr>
                <w:rFonts w:ascii="Calibri" w:eastAsia="Calibri" w:hAnsi="Calibri" w:cs="Calibri"/>
                <w:sz w:val="22"/>
                <w:szCs w:val="22"/>
              </w:rPr>
            </w:pPr>
            <w:r>
              <w:rPr>
                <w:rFonts w:ascii="Calibri" w:eastAsia="Calibri" w:hAnsi="Calibri" w:cs="Calibri"/>
                <w:sz w:val="22"/>
                <w:szCs w:val="22"/>
              </w:rPr>
              <w:t>video essays</w:t>
            </w:r>
          </w:p>
          <w:p w14:paraId="2E84B8BE" w14:textId="77777777" w:rsidR="00885AE2" w:rsidRDefault="00885AE2">
            <w:pPr>
              <w:rPr>
                <w:rFonts w:ascii="Calibri" w:eastAsia="Calibri" w:hAnsi="Calibri" w:cs="Calibri"/>
                <w:sz w:val="22"/>
                <w:szCs w:val="22"/>
              </w:rPr>
            </w:pPr>
          </w:p>
          <w:p w14:paraId="34B0302F" w14:textId="77777777" w:rsidR="00885AE2" w:rsidRDefault="00000000">
            <w:pPr>
              <w:rPr>
                <w:rFonts w:ascii="Calibri" w:eastAsia="Calibri" w:hAnsi="Calibri" w:cs="Calibri"/>
                <w:sz w:val="22"/>
                <w:szCs w:val="22"/>
              </w:rPr>
            </w:pPr>
            <w:r>
              <w:rPr>
                <w:rFonts w:ascii="Calibri" w:eastAsia="Calibri" w:hAnsi="Calibri" w:cs="Calibri"/>
                <w:sz w:val="21"/>
                <w:szCs w:val="21"/>
                <w:highlight w:val="white"/>
              </w:rPr>
              <w:t xml:space="preserve">HEFCE, “Supporting higher education in further education colleges: Writing higher education strategies”, May 2009, </w:t>
            </w:r>
            <w:hyperlink r:id="rId19">
              <w:r>
                <w:rPr>
                  <w:rFonts w:ascii="Calibri" w:eastAsia="Calibri" w:hAnsi="Calibri" w:cs="Calibri"/>
                  <w:sz w:val="21"/>
                  <w:szCs w:val="21"/>
                  <w:highlight w:val="white"/>
                </w:rPr>
                <w:t>https://dera.ioe.ac.uk/141/1/09_05_supp.pdf</w:t>
              </w:r>
            </w:hyperlink>
          </w:p>
          <w:p w14:paraId="663548C6" w14:textId="77777777" w:rsidR="00885AE2" w:rsidRDefault="00000000">
            <w:pPr>
              <w:rPr>
                <w:rFonts w:ascii="Calibri" w:eastAsia="Calibri" w:hAnsi="Calibri" w:cs="Calibri"/>
                <w:sz w:val="22"/>
                <w:szCs w:val="22"/>
              </w:rPr>
            </w:pPr>
            <w:r>
              <w:rPr>
                <w:rFonts w:ascii="Calibri" w:eastAsia="Calibri" w:hAnsi="Calibri" w:cs="Calibri"/>
                <w:b/>
                <w:sz w:val="22"/>
                <w:szCs w:val="22"/>
              </w:rPr>
              <w:t xml:space="preserve">Keathley, C., </w:t>
            </w:r>
            <w:proofErr w:type="spellStart"/>
            <w:r>
              <w:rPr>
                <w:rFonts w:ascii="Calibri" w:eastAsia="Calibri" w:hAnsi="Calibri" w:cs="Calibri"/>
                <w:b/>
                <w:sz w:val="22"/>
                <w:szCs w:val="22"/>
              </w:rPr>
              <w:t>Mittell</w:t>
            </w:r>
            <w:proofErr w:type="spellEnd"/>
            <w:r>
              <w:rPr>
                <w:rFonts w:ascii="Calibri" w:eastAsia="Calibri" w:hAnsi="Calibri" w:cs="Calibri"/>
                <w:b/>
                <w:sz w:val="22"/>
                <w:szCs w:val="22"/>
              </w:rPr>
              <w:t>, J., &amp; Grant, C. (2019).</w:t>
            </w:r>
            <w:r>
              <w:rPr>
                <w:rFonts w:ascii="Calibri" w:eastAsia="Calibri" w:hAnsi="Calibri" w:cs="Calibri"/>
                <w:sz w:val="22"/>
                <w:szCs w:val="22"/>
              </w:rPr>
              <w:t xml:space="preserve"> </w:t>
            </w:r>
            <w:r>
              <w:rPr>
                <w:rFonts w:ascii="Calibri" w:eastAsia="Calibri" w:hAnsi="Calibri" w:cs="Calibri"/>
                <w:i/>
                <w:sz w:val="22"/>
                <w:szCs w:val="22"/>
              </w:rPr>
              <w:t>The Videographic Essay: Criticism in Sound &amp; Image</w:t>
            </w:r>
            <w:r>
              <w:rPr>
                <w:rFonts w:ascii="Calibri" w:eastAsia="Calibri" w:hAnsi="Calibri" w:cs="Calibri"/>
                <w:sz w:val="22"/>
                <w:szCs w:val="22"/>
              </w:rPr>
              <w:t>. Caboose.</w:t>
            </w:r>
          </w:p>
          <w:p w14:paraId="2535BBA2" w14:textId="77777777" w:rsidR="00885AE2" w:rsidRDefault="00885AE2">
            <w:pPr>
              <w:rPr>
                <w:rFonts w:ascii="Calibri" w:eastAsia="Calibri" w:hAnsi="Calibri" w:cs="Calibri"/>
                <w:sz w:val="22"/>
                <w:szCs w:val="22"/>
              </w:rPr>
            </w:pPr>
          </w:p>
          <w:p w14:paraId="196BF851" w14:textId="77777777" w:rsidR="00885AE2" w:rsidRDefault="00000000">
            <w:pPr>
              <w:rPr>
                <w:rFonts w:ascii="Calibri" w:eastAsia="Calibri" w:hAnsi="Calibri" w:cs="Calibri"/>
                <w:sz w:val="22"/>
                <w:szCs w:val="22"/>
              </w:rPr>
            </w:pPr>
            <w:r>
              <w:rPr>
                <w:rFonts w:ascii="Calibri" w:eastAsia="Calibri" w:hAnsi="Calibri" w:cs="Calibri"/>
                <w:b/>
                <w:sz w:val="22"/>
                <w:szCs w:val="22"/>
              </w:rPr>
              <w:t>Grant, C. (2013).</w:t>
            </w:r>
            <w:r>
              <w:rPr>
                <w:rFonts w:ascii="Calibri" w:eastAsia="Calibri" w:hAnsi="Calibri" w:cs="Calibri"/>
                <w:sz w:val="22"/>
                <w:szCs w:val="22"/>
              </w:rPr>
              <w:t xml:space="preserve"> </w:t>
            </w:r>
            <w:r>
              <w:rPr>
                <w:rFonts w:ascii="Calibri" w:eastAsia="Calibri" w:hAnsi="Calibri" w:cs="Calibri"/>
                <w:i/>
                <w:sz w:val="22"/>
                <w:szCs w:val="22"/>
              </w:rPr>
              <w:t>Déjà-Viewing? Videographic Experiments in Intertextual Film Studies</w:t>
            </w:r>
            <w:r>
              <w:rPr>
                <w:rFonts w:ascii="Calibri" w:eastAsia="Calibri" w:hAnsi="Calibri" w:cs="Calibri"/>
                <w:sz w:val="22"/>
                <w:szCs w:val="22"/>
              </w:rPr>
              <w:t xml:space="preserve">. </w:t>
            </w:r>
            <w:r>
              <w:rPr>
                <w:rFonts w:ascii="Calibri" w:eastAsia="Calibri" w:hAnsi="Calibri" w:cs="Calibri"/>
                <w:i/>
                <w:sz w:val="22"/>
                <w:szCs w:val="22"/>
              </w:rPr>
              <w:t>Mediascape: UCLA's Journal of Cinema and Media Studies</w:t>
            </w:r>
            <w:r>
              <w:rPr>
                <w:rFonts w:ascii="Calibri" w:eastAsia="Calibri" w:hAnsi="Calibri" w:cs="Calibri"/>
                <w:sz w:val="22"/>
                <w:szCs w:val="22"/>
              </w:rPr>
              <w:t>.</w:t>
            </w:r>
          </w:p>
          <w:p w14:paraId="5E21F352" w14:textId="77777777" w:rsidR="00885AE2" w:rsidRDefault="00885AE2">
            <w:pPr>
              <w:rPr>
                <w:rFonts w:ascii="Calibri" w:eastAsia="Calibri" w:hAnsi="Calibri" w:cs="Calibri"/>
                <w:sz w:val="22"/>
                <w:szCs w:val="22"/>
              </w:rPr>
            </w:pPr>
          </w:p>
          <w:p w14:paraId="57807DF5" w14:textId="77777777" w:rsidR="00885AE2" w:rsidRDefault="00000000">
            <w:pPr>
              <w:rPr>
                <w:rFonts w:ascii="Calibri" w:eastAsia="Calibri" w:hAnsi="Calibri" w:cs="Calibri"/>
                <w:sz w:val="22"/>
                <w:szCs w:val="22"/>
              </w:rPr>
            </w:pPr>
            <w:r>
              <w:rPr>
                <w:rFonts w:ascii="Calibri" w:eastAsia="Calibri" w:hAnsi="Calibri" w:cs="Calibri"/>
                <w:b/>
                <w:sz w:val="22"/>
                <w:szCs w:val="22"/>
              </w:rPr>
              <w:t>Faden, E. (2008).</w:t>
            </w:r>
            <w:r>
              <w:rPr>
                <w:rFonts w:ascii="Calibri" w:eastAsia="Calibri" w:hAnsi="Calibri" w:cs="Calibri"/>
                <w:sz w:val="22"/>
                <w:szCs w:val="22"/>
              </w:rPr>
              <w:t xml:space="preserve"> </w:t>
            </w:r>
            <w:r>
              <w:rPr>
                <w:rFonts w:ascii="Calibri" w:eastAsia="Calibri" w:hAnsi="Calibri" w:cs="Calibri"/>
                <w:i/>
                <w:sz w:val="22"/>
                <w:szCs w:val="22"/>
              </w:rPr>
              <w:t>A Manifesto for Critical Media</w:t>
            </w:r>
            <w:r>
              <w:rPr>
                <w:rFonts w:ascii="Calibri" w:eastAsia="Calibri" w:hAnsi="Calibri" w:cs="Calibri"/>
                <w:sz w:val="22"/>
                <w:szCs w:val="22"/>
              </w:rPr>
              <w:t xml:space="preserve">. </w:t>
            </w:r>
            <w:r>
              <w:rPr>
                <w:rFonts w:ascii="Calibri" w:eastAsia="Calibri" w:hAnsi="Calibri" w:cs="Calibri"/>
                <w:i/>
                <w:sz w:val="22"/>
                <w:szCs w:val="22"/>
              </w:rPr>
              <w:t>Mediascape Journal</w:t>
            </w:r>
            <w:r>
              <w:rPr>
                <w:rFonts w:ascii="Calibri" w:eastAsia="Calibri" w:hAnsi="Calibri" w:cs="Calibri"/>
                <w:sz w:val="22"/>
                <w:szCs w:val="22"/>
              </w:rPr>
              <w:t>.</w:t>
            </w:r>
          </w:p>
          <w:p w14:paraId="776D12CA" w14:textId="77777777" w:rsidR="00885AE2" w:rsidRDefault="00885AE2">
            <w:pPr>
              <w:rPr>
                <w:rFonts w:ascii="Calibri" w:eastAsia="Calibri" w:hAnsi="Calibri" w:cs="Calibri"/>
                <w:b/>
                <w:sz w:val="22"/>
                <w:szCs w:val="22"/>
              </w:rPr>
            </w:pPr>
          </w:p>
        </w:tc>
      </w:tr>
      <w:tr w:rsidR="00885AE2" w14:paraId="6D50BFCE" w14:textId="77777777">
        <w:trPr>
          <w:trHeight w:val="1782"/>
        </w:trPr>
        <w:tc>
          <w:tcPr>
            <w:tcW w:w="8613" w:type="dxa"/>
            <w:tcBorders>
              <w:left w:val="single" w:sz="6" w:space="0" w:color="000000"/>
              <w:bottom w:val="single" w:sz="6" w:space="0" w:color="000000"/>
              <w:right w:val="single" w:sz="6" w:space="0" w:color="000000"/>
            </w:tcBorders>
          </w:tcPr>
          <w:p w14:paraId="2098ED23" w14:textId="77777777" w:rsidR="00885AE2" w:rsidRDefault="00000000">
            <w:pPr>
              <w:numPr>
                <w:ilvl w:val="0"/>
                <w:numId w:val="1"/>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lastRenderedPageBreak/>
              <w:t>What action are you going to take in your teaching practice?</w:t>
            </w:r>
          </w:p>
          <w:p w14:paraId="25CE1036" w14:textId="77777777" w:rsidR="00885AE2" w:rsidRDefault="00000000">
            <w:pPr>
              <w:spacing w:before="240" w:after="240"/>
              <w:rPr>
                <w:rFonts w:ascii="Arial" w:eastAsia="Arial" w:hAnsi="Arial" w:cs="Arial"/>
                <w:sz w:val="22"/>
                <w:szCs w:val="22"/>
              </w:rPr>
            </w:pPr>
            <w:r>
              <w:rPr>
                <w:rFonts w:ascii="Arial" w:eastAsia="Arial" w:hAnsi="Arial" w:cs="Arial"/>
                <w:sz w:val="22"/>
                <w:szCs w:val="22"/>
              </w:rPr>
              <w:t xml:space="preserve">As a media technician with experience in the production process, I am going to create a video essay that highlights the issue of cobalt mining in the Democratic Republic of Congo, focusing on its impact on climate change and ethics. My goal is to raise awareness among staff and students at Central Saint Martins about the human rights violations associated with technologies we use daily, particularly the extraction of cobalt for batteries. My Intention is to encourage behaviour change and create a sense of informed consumption of technology, where staff and students may consider how sustainable the technology is when purchasing. In my video Essay I will also provide a call to action with some resources that the viewer will be able to investigate. This video essay will be informed by the research I conduct about what staff and students know about the origins of their portable technology and consider its Life Cycle which could also be implemented within UAL’s IT strategy. The Video essay will </w:t>
            </w:r>
            <w:r>
              <w:rPr>
                <w:rFonts w:ascii="Arial" w:eastAsia="Arial" w:hAnsi="Arial" w:cs="Arial"/>
                <w:sz w:val="22"/>
                <w:szCs w:val="22"/>
              </w:rPr>
              <w:lastRenderedPageBreak/>
              <w:t>serve as both an educational tool and methodology for dissemination on the following platforms: YouTube, Moodle and Padlet. Furthermore, my intention for the video essay is to engage UAL as an institution to reflect and question the types of portable battery-operated technologies we use, in the technical media workshops.</w:t>
            </w:r>
          </w:p>
        </w:tc>
      </w:tr>
      <w:tr w:rsidR="00885AE2" w14:paraId="33021631" w14:textId="77777777">
        <w:tc>
          <w:tcPr>
            <w:tcW w:w="8613" w:type="dxa"/>
            <w:tcBorders>
              <w:top w:val="single" w:sz="6" w:space="0" w:color="000000"/>
              <w:left w:val="single" w:sz="6" w:space="0" w:color="000000"/>
              <w:bottom w:val="single" w:sz="6" w:space="0" w:color="000000"/>
              <w:right w:val="single" w:sz="6" w:space="0" w:color="000000"/>
            </w:tcBorders>
          </w:tcPr>
          <w:p w14:paraId="4DDB3A05" w14:textId="77777777" w:rsidR="00885AE2" w:rsidRDefault="00000000">
            <w:pPr>
              <w:numPr>
                <w:ilvl w:val="0"/>
                <w:numId w:val="1"/>
              </w:num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lastRenderedPageBreak/>
              <w:t>Who will be involved and how?</w:t>
            </w:r>
          </w:p>
          <w:p w14:paraId="6E4DB924" w14:textId="77777777" w:rsidR="00885AE2" w:rsidRDefault="00885AE2">
            <w:pPr>
              <w:pBdr>
                <w:top w:val="nil"/>
                <w:left w:val="nil"/>
                <w:bottom w:val="nil"/>
                <w:right w:val="nil"/>
                <w:between w:val="nil"/>
              </w:pBdr>
              <w:ind w:left="720"/>
              <w:rPr>
                <w:rFonts w:ascii="Arial" w:eastAsia="Arial" w:hAnsi="Arial" w:cs="Arial"/>
                <w:color w:val="000000"/>
                <w:sz w:val="22"/>
                <w:szCs w:val="22"/>
              </w:rPr>
            </w:pPr>
          </w:p>
          <w:p w14:paraId="36C4866D" w14:textId="3D04C467" w:rsidR="00885AE2" w:rsidRDefault="00000000">
            <w:pPr>
              <w:tabs>
                <w:tab w:val="left" w:pos="426"/>
              </w:tabs>
              <w:rPr>
                <w:rFonts w:ascii="Arial" w:eastAsia="Arial" w:hAnsi="Arial" w:cs="Arial"/>
                <w:sz w:val="22"/>
                <w:szCs w:val="22"/>
              </w:rPr>
            </w:pPr>
            <w:r>
              <w:rPr>
                <w:rFonts w:ascii="Arial" w:eastAsia="Arial" w:hAnsi="Arial" w:cs="Arial"/>
                <w:sz w:val="22"/>
                <w:szCs w:val="22"/>
              </w:rPr>
              <w:t xml:space="preserve">Students and staff will actively participate in this action research project by contributing to the video essay through semi structured interviews and </w:t>
            </w:r>
            <w:r w:rsidR="00456A21">
              <w:rPr>
                <w:rFonts w:ascii="Arial" w:eastAsia="Arial" w:hAnsi="Arial" w:cs="Arial"/>
                <w:sz w:val="22"/>
                <w:szCs w:val="22"/>
              </w:rPr>
              <w:t xml:space="preserve">Quasi-structured </w:t>
            </w:r>
            <w:r>
              <w:rPr>
                <w:rFonts w:ascii="Arial" w:eastAsia="Arial" w:hAnsi="Arial" w:cs="Arial"/>
                <w:sz w:val="22"/>
                <w:szCs w:val="22"/>
              </w:rPr>
              <w:t xml:space="preserve">questionnaires. </w:t>
            </w:r>
            <w:r w:rsidR="00456A21">
              <w:rPr>
                <w:rFonts w:ascii="Arial" w:eastAsia="Arial" w:hAnsi="Arial" w:cs="Arial"/>
                <w:sz w:val="22"/>
                <w:szCs w:val="22"/>
              </w:rPr>
              <w:t>The questionnaire will have 2 sections. In section 1 participants will be asked about the</w:t>
            </w:r>
            <w:r w:rsidR="0042370E">
              <w:rPr>
                <w:rFonts w:ascii="Arial" w:eastAsia="Arial" w:hAnsi="Arial" w:cs="Arial"/>
                <w:sz w:val="22"/>
                <w:szCs w:val="22"/>
              </w:rPr>
              <w:t>ir thoughts on the</w:t>
            </w:r>
            <w:r w:rsidR="00456A21">
              <w:rPr>
                <w:rFonts w:ascii="Arial" w:eastAsia="Arial" w:hAnsi="Arial" w:cs="Arial"/>
                <w:sz w:val="22"/>
                <w:szCs w:val="22"/>
              </w:rPr>
              <w:t xml:space="preserve"> video essay as a method of dissemination, teaching and learning. Whereas in section 2 t</w:t>
            </w:r>
            <w:r>
              <w:rPr>
                <w:rFonts w:ascii="Arial" w:eastAsia="Arial" w:hAnsi="Arial" w:cs="Arial"/>
                <w:sz w:val="22"/>
                <w:szCs w:val="22"/>
              </w:rPr>
              <w:t xml:space="preserve">heir insights and perspectives on the ethical concerns surrounding cobalt mining and its connection to the technologies we use daily will shape the narrative of the project. The findings I aim to gain will not only inform the content of the video essay, but also encourage participants to reflect on how these issues relate to climate and racial justice within our curriculum and the technologies we use in teaching and learning. </w:t>
            </w:r>
          </w:p>
          <w:p w14:paraId="2C65D040" w14:textId="77777777" w:rsidR="00885AE2" w:rsidRDefault="00885AE2">
            <w:pPr>
              <w:tabs>
                <w:tab w:val="left" w:pos="426"/>
              </w:tabs>
              <w:rPr>
                <w:rFonts w:ascii="Arial" w:eastAsia="Arial" w:hAnsi="Arial" w:cs="Arial"/>
                <w:sz w:val="22"/>
                <w:szCs w:val="22"/>
              </w:rPr>
            </w:pPr>
          </w:p>
          <w:p w14:paraId="58F2FA1F" w14:textId="3F5E55F9" w:rsidR="00885AE2" w:rsidRDefault="00000000">
            <w:pPr>
              <w:tabs>
                <w:tab w:val="left" w:pos="426"/>
              </w:tabs>
              <w:rPr>
                <w:rFonts w:ascii="Arial" w:eastAsia="Arial" w:hAnsi="Arial" w:cs="Arial"/>
                <w:sz w:val="22"/>
                <w:szCs w:val="22"/>
              </w:rPr>
            </w:pPr>
            <w:r>
              <w:rPr>
                <w:rFonts w:ascii="Arial" w:eastAsia="Arial" w:hAnsi="Arial" w:cs="Arial"/>
                <w:sz w:val="22"/>
                <w:szCs w:val="22"/>
              </w:rPr>
              <w:t xml:space="preserve">The participants for my research will not be recorded for the video essay- but rather they may have questions that arise from the questionnaires and interviews that will take place. </w:t>
            </w:r>
            <w:r w:rsidR="00490796">
              <w:rPr>
                <w:rFonts w:ascii="Arial" w:eastAsia="Arial" w:hAnsi="Arial" w:cs="Arial"/>
                <w:sz w:val="22"/>
                <w:szCs w:val="22"/>
              </w:rPr>
              <w:t>In response m</w:t>
            </w:r>
            <w:r>
              <w:rPr>
                <w:rFonts w:ascii="Arial" w:eastAsia="Arial" w:hAnsi="Arial" w:cs="Arial"/>
                <w:sz w:val="22"/>
                <w:szCs w:val="22"/>
              </w:rPr>
              <w:t>y objective is to answer their questions in the video essay.</w:t>
            </w:r>
          </w:p>
          <w:p w14:paraId="7C724D0D" w14:textId="77777777" w:rsidR="00885AE2" w:rsidRDefault="00000000">
            <w:pPr>
              <w:rPr>
                <w:rFonts w:ascii="Arial" w:eastAsia="Arial" w:hAnsi="Arial" w:cs="Arial"/>
                <w:color w:val="000000"/>
                <w:sz w:val="22"/>
                <w:szCs w:val="22"/>
              </w:rPr>
            </w:pPr>
            <w:r>
              <w:rPr>
                <w:rFonts w:ascii="Arial" w:eastAsia="Arial" w:hAnsi="Arial" w:cs="Arial"/>
                <w:sz w:val="22"/>
                <w:szCs w:val="22"/>
              </w:rPr>
              <w:t xml:space="preserve"> By engaging with the research, they will play a critical role in helping me script the video essay and raise awareness to foster institutional change at Central Saint Martins.</w:t>
            </w:r>
          </w:p>
          <w:p w14:paraId="4802EB1A" w14:textId="77777777" w:rsidR="00885AE2" w:rsidRDefault="00885AE2">
            <w:pPr>
              <w:rPr>
                <w:rFonts w:ascii="Arial" w:eastAsia="Arial" w:hAnsi="Arial" w:cs="Arial"/>
                <w:color w:val="000000"/>
                <w:sz w:val="22"/>
                <w:szCs w:val="22"/>
              </w:rPr>
            </w:pPr>
          </w:p>
        </w:tc>
      </w:tr>
      <w:tr w:rsidR="00885AE2" w14:paraId="46670D68" w14:textId="77777777">
        <w:tc>
          <w:tcPr>
            <w:tcW w:w="8613" w:type="dxa"/>
            <w:tcBorders>
              <w:top w:val="single" w:sz="6" w:space="0" w:color="000000"/>
              <w:left w:val="single" w:sz="6" w:space="0" w:color="000000"/>
              <w:bottom w:val="single" w:sz="6" w:space="0" w:color="000000"/>
              <w:right w:val="single" w:sz="6" w:space="0" w:color="000000"/>
            </w:tcBorders>
          </w:tcPr>
          <w:p w14:paraId="721A3628" w14:textId="77777777" w:rsidR="00885AE2" w:rsidRDefault="00000000">
            <w:pPr>
              <w:numPr>
                <w:ilvl w:val="0"/>
                <w:numId w:val="1"/>
              </w:numPr>
              <w:pBdr>
                <w:top w:val="nil"/>
                <w:left w:val="nil"/>
                <w:bottom w:val="nil"/>
                <w:right w:val="nil"/>
                <w:between w:val="nil"/>
              </w:pBdr>
              <w:tabs>
                <w:tab w:val="left" w:pos="284"/>
                <w:tab w:val="left" w:pos="426"/>
              </w:tabs>
              <w:rPr>
                <w:rFonts w:ascii="Arial" w:eastAsia="Arial" w:hAnsi="Arial" w:cs="Arial"/>
                <w:color w:val="000000"/>
                <w:sz w:val="22"/>
                <w:szCs w:val="22"/>
              </w:rPr>
            </w:pPr>
            <w:r>
              <w:rPr>
                <w:rFonts w:ascii="Arial" w:eastAsia="Arial" w:hAnsi="Arial" w:cs="Arial"/>
                <w:b/>
                <w:color w:val="000000"/>
                <w:sz w:val="22"/>
                <w:szCs w:val="22"/>
              </w:rPr>
              <w:t xml:space="preserve">What </w:t>
            </w:r>
            <w:proofErr w:type="gramStart"/>
            <w:r>
              <w:rPr>
                <w:rFonts w:ascii="Arial" w:eastAsia="Arial" w:hAnsi="Arial" w:cs="Arial"/>
                <w:b/>
                <w:color w:val="000000"/>
                <w:sz w:val="22"/>
                <w:szCs w:val="22"/>
              </w:rPr>
              <w:t>are</w:t>
            </w:r>
            <w:proofErr w:type="gramEnd"/>
            <w:r>
              <w:rPr>
                <w:rFonts w:ascii="Arial" w:eastAsia="Arial" w:hAnsi="Arial" w:cs="Arial"/>
                <w:b/>
                <w:color w:val="000000"/>
                <w:sz w:val="22"/>
                <w:szCs w:val="22"/>
              </w:rPr>
              <w:t xml:space="preserve"> the health &amp; safety concerns, and how will you prepare for them?</w:t>
            </w:r>
          </w:p>
          <w:p w14:paraId="729C8CFF" w14:textId="77777777" w:rsidR="00885AE2" w:rsidRDefault="00000000">
            <w:pPr>
              <w:tabs>
                <w:tab w:val="left" w:pos="426"/>
              </w:tabs>
              <w:spacing w:before="240" w:after="240"/>
              <w:rPr>
                <w:rFonts w:ascii="Arial" w:eastAsia="Arial" w:hAnsi="Arial" w:cs="Arial"/>
                <w:sz w:val="22"/>
                <w:szCs w:val="22"/>
              </w:rPr>
            </w:pPr>
            <w:r>
              <w:rPr>
                <w:rFonts w:ascii="Arial" w:eastAsia="Arial" w:hAnsi="Arial" w:cs="Arial"/>
                <w:sz w:val="22"/>
                <w:szCs w:val="22"/>
              </w:rPr>
              <w:t>When discussing sensitive topics like cobalt mining and modern slavery with students, it's essential to consider their emotional and psychological well-being. there is potential for students to feel distressed, especially when detailing exploitation, child labour, and human rights violations. I aim to provide a trigger warning, as well as a safe, respectful environment for discussion, allow space for students to process and reflect, and provide support resources, such as the UAL counselling services. Additionally, during the interview sessions and the questionnaire, I will also aim to avoid graphic descriptions, and be aware of the diverse backgrounds of students, as some may have personal connections to such issues.</w:t>
            </w:r>
          </w:p>
          <w:p w14:paraId="6D8A4550" w14:textId="18EF8D7D" w:rsidR="00490796" w:rsidRDefault="00000000">
            <w:pPr>
              <w:tabs>
                <w:tab w:val="left" w:pos="426"/>
              </w:tabs>
              <w:spacing w:before="240" w:after="240"/>
              <w:rPr>
                <w:rFonts w:ascii="Arial" w:eastAsia="Arial" w:hAnsi="Arial" w:cs="Arial"/>
                <w:sz w:val="22"/>
                <w:szCs w:val="22"/>
              </w:rPr>
            </w:pPr>
            <w:r>
              <w:rPr>
                <w:rFonts w:ascii="Arial" w:eastAsia="Arial" w:hAnsi="Arial" w:cs="Arial"/>
                <w:sz w:val="22"/>
                <w:szCs w:val="22"/>
              </w:rPr>
              <w:t>When discussing the slavery linked to cobalt mining with staff, it’s important to ensure a professional, respectful tone while being mindful of their emotional and intellectual responses to the topic. Staff may have varying levels of familiarity with the issue, so</w:t>
            </w:r>
            <w:r w:rsidR="00B65788">
              <w:rPr>
                <w:rFonts w:ascii="Arial" w:eastAsia="Arial" w:hAnsi="Arial" w:cs="Arial"/>
                <w:sz w:val="22"/>
                <w:szCs w:val="22"/>
              </w:rPr>
              <w:t xml:space="preserve"> I will need to</w:t>
            </w:r>
            <w:r>
              <w:rPr>
                <w:rFonts w:ascii="Arial" w:eastAsia="Arial" w:hAnsi="Arial" w:cs="Arial"/>
                <w:sz w:val="22"/>
                <w:szCs w:val="22"/>
              </w:rPr>
              <w:t xml:space="preserve"> provide well-researched facts while avoiding overwhelming or distressing details. </w:t>
            </w:r>
            <w:r w:rsidR="00B65788">
              <w:rPr>
                <w:rFonts w:ascii="Arial" w:eastAsia="Arial" w:hAnsi="Arial" w:cs="Arial"/>
                <w:sz w:val="22"/>
                <w:szCs w:val="22"/>
              </w:rPr>
              <w:t>I aim to o</w:t>
            </w:r>
            <w:r>
              <w:rPr>
                <w:rFonts w:ascii="Arial" w:eastAsia="Arial" w:hAnsi="Arial" w:cs="Arial"/>
                <w:sz w:val="22"/>
                <w:szCs w:val="22"/>
              </w:rPr>
              <w:t xml:space="preserve">ffer opportunities for open </w:t>
            </w:r>
            <w:r w:rsidR="0042370E">
              <w:rPr>
                <w:rFonts w:ascii="Arial" w:eastAsia="Arial" w:hAnsi="Arial" w:cs="Arial"/>
                <w:sz w:val="22"/>
                <w:szCs w:val="22"/>
              </w:rPr>
              <w:t xml:space="preserve">discussion </w:t>
            </w:r>
            <w:proofErr w:type="gramStart"/>
            <w:r w:rsidR="0042370E">
              <w:rPr>
                <w:rFonts w:ascii="Arial" w:eastAsia="Arial" w:hAnsi="Arial" w:cs="Arial"/>
                <w:sz w:val="22"/>
                <w:szCs w:val="22"/>
              </w:rPr>
              <w:t>and</w:t>
            </w:r>
            <w:r>
              <w:rPr>
                <w:rFonts w:ascii="Arial" w:eastAsia="Arial" w:hAnsi="Arial" w:cs="Arial"/>
                <w:sz w:val="22"/>
                <w:szCs w:val="22"/>
              </w:rPr>
              <w:t xml:space="preserve"> </w:t>
            </w:r>
            <w:r w:rsidR="0042370E">
              <w:rPr>
                <w:rFonts w:ascii="Arial" w:eastAsia="Arial" w:hAnsi="Arial" w:cs="Arial"/>
                <w:sz w:val="22"/>
                <w:szCs w:val="22"/>
              </w:rPr>
              <w:t>also</w:t>
            </w:r>
            <w:proofErr w:type="gramEnd"/>
            <w:r w:rsidR="0042370E">
              <w:rPr>
                <w:rFonts w:ascii="Arial" w:eastAsia="Arial" w:hAnsi="Arial" w:cs="Arial"/>
                <w:sz w:val="22"/>
                <w:szCs w:val="22"/>
              </w:rPr>
              <w:t xml:space="preserve"> </w:t>
            </w:r>
            <w:r w:rsidR="00B65788">
              <w:rPr>
                <w:rFonts w:ascii="Arial" w:eastAsia="Arial" w:hAnsi="Arial" w:cs="Arial"/>
                <w:sz w:val="22"/>
                <w:szCs w:val="22"/>
              </w:rPr>
              <w:t>aim to be</w:t>
            </w:r>
            <w:r>
              <w:rPr>
                <w:rFonts w:ascii="Arial" w:eastAsia="Arial" w:hAnsi="Arial" w:cs="Arial"/>
                <w:sz w:val="22"/>
                <w:szCs w:val="22"/>
              </w:rPr>
              <w:t xml:space="preserve"> prepared to address any concerns that arise, such as ethical implications for their own work or how these issues might be addressed within institutional policies. </w:t>
            </w:r>
          </w:p>
          <w:p w14:paraId="7ADA0533" w14:textId="259BB538" w:rsidR="00885AE2" w:rsidRDefault="00000000">
            <w:pPr>
              <w:tabs>
                <w:tab w:val="left" w:pos="426"/>
              </w:tabs>
              <w:spacing w:before="240" w:after="240"/>
              <w:rPr>
                <w:rFonts w:ascii="Arial" w:eastAsia="Arial" w:hAnsi="Arial" w:cs="Arial"/>
                <w:sz w:val="22"/>
                <w:szCs w:val="22"/>
              </w:rPr>
            </w:pPr>
            <w:r>
              <w:rPr>
                <w:rFonts w:ascii="Arial" w:eastAsia="Arial" w:hAnsi="Arial" w:cs="Arial"/>
                <w:sz w:val="22"/>
                <w:szCs w:val="22"/>
              </w:rPr>
              <w:t>Providing resources for further reading and support is also beneficial</w:t>
            </w:r>
            <w:r w:rsidR="00490796">
              <w:rPr>
                <w:rFonts w:ascii="Arial" w:eastAsia="Arial" w:hAnsi="Arial" w:cs="Arial"/>
                <w:sz w:val="22"/>
                <w:szCs w:val="22"/>
              </w:rPr>
              <w:t>, here is a list of what I found to be appropriate:</w:t>
            </w:r>
          </w:p>
          <w:p w14:paraId="19066B64" w14:textId="77777777" w:rsidR="00885AE2" w:rsidRDefault="00000000">
            <w:pPr>
              <w:tabs>
                <w:tab w:val="left" w:pos="426"/>
              </w:tabs>
              <w:spacing w:after="380"/>
              <w:rPr>
                <w:rFonts w:ascii="Arial" w:eastAsia="Arial" w:hAnsi="Arial" w:cs="Arial"/>
                <w:sz w:val="22"/>
                <w:szCs w:val="22"/>
                <w:u w:val="single"/>
              </w:rPr>
            </w:pPr>
            <w:r>
              <w:rPr>
                <w:rFonts w:ascii="Arial" w:eastAsia="Arial" w:hAnsi="Arial" w:cs="Arial"/>
                <w:sz w:val="22"/>
                <w:szCs w:val="22"/>
              </w:rPr>
              <w:t xml:space="preserve">Healing Justice </w:t>
            </w:r>
            <w:hyperlink r:id="rId20">
              <w:r>
                <w:rPr>
                  <w:rFonts w:ascii="Arial" w:eastAsia="Arial" w:hAnsi="Arial" w:cs="Arial"/>
                  <w:sz w:val="22"/>
                  <w:szCs w:val="22"/>
                  <w:u w:val="single"/>
                </w:rPr>
                <w:t>https://healingjusticeldn.org</w:t>
              </w:r>
            </w:hyperlink>
          </w:p>
          <w:p w14:paraId="2652AA87" w14:textId="77777777" w:rsidR="00885AE2" w:rsidRDefault="00000000">
            <w:pPr>
              <w:tabs>
                <w:tab w:val="left" w:pos="426"/>
              </w:tabs>
              <w:spacing w:after="380"/>
              <w:rPr>
                <w:rFonts w:ascii="Arial" w:eastAsia="Arial" w:hAnsi="Arial" w:cs="Arial"/>
                <w:sz w:val="22"/>
                <w:szCs w:val="22"/>
                <w:u w:val="single"/>
              </w:rPr>
            </w:pPr>
            <w:r>
              <w:rPr>
                <w:rFonts w:ascii="Arial" w:eastAsia="Arial" w:hAnsi="Arial" w:cs="Arial"/>
                <w:sz w:val="22"/>
                <w:szCs w:val="22"/>
              </w:rPr>
              <w:lastRenderedPageBreak/>
              <w:t xml:space="preserve">Resist and </w:t>
            </w:r>
            <w:proofErr w:type="gramStart"/>
            <w:r>
              <w:rPr>
                <w:rFonts w:ascii="Arial" w:eastAsia="Arial" w:hAnsi="Arial" w:cs="Arial"/>
                <w:sz w:val="22"/>
                <w:szCs w:val="22"/>
              </w:rPr>
              <w:t>Renew</w:t>
            </w:r>
            <w:proofErr w:type="gramEnd"/>
            <w:r>
              <w:rPr>
                <w:rFonts w:ascii="Arial" w:eastAsia="Arial" w:hAnsi="Arial" w:cs="Arial"/>
                <w:sz w:val="22"/>
                <w:szCs w:val="22"/>
              </w:rPr>
              <w:t xml:space="preserve"> </w:t>
            </w:r>
            <w:hyperlink r:id="rId21">
              <w:r>
                <w:rPr>
                  <w:rFonts w:ascii="Arial" w:eastAsia="Arial" w:hAnsi="Arial" w:cs="Arial"/>
                  <w:sz w:val="22"/>
                  <w:szCs w:val="22"/>
                  <w:u w:val="single"/>
                </w:rPr>
                <w:t>https://resistrenew.com</w:t>
              </w:r>
            </w:hyperlink>
          </w:p>
          <w:p w14:paraId="4C64D6A8" w14:textId="77777777" w:rsidR="00885AE2" w:rsidRDefault="00000000">
            <w:pPr>
              <w:tabs>
                <w:tab w:val="left" w:pos="426"/>
              </w:tabs>
              <w:spacing w:after="380"/>
              <w:rPr>
                <w:rFonts w:ascii="Arial" w:eastAsia="Arial" w:hAnsi="Arial" w:cs="Arial"/>
                <w:sz w:val="22"/>
                <w:szCs w:val="22"/>
              </w:rPr>
            </w:pPr>
            <w:r>
              <w:rPr>
                <w:rFonts w:ascii="Arial" w:eastAsia="Arial" w:hAnsi="Arial" w:cs="Arial"/>
                <w:sz w:val="22"/>
                <w:szCs w:val="22"/>
              </w:rPr>
              <w:t xml:space="preserve">Radical Therapist Network: </w:t>
            </w:r>
            <w:hyperlink r:id="rId22">
              <w:r>
                <w:rPr>
                  <w:rFonts w:ascii="Arial" w:eastAsia="Arial" w:hAnsi="Arial" w:cs="Arial"/>
                  <w:sz w:val="22"/>
                  <w:szCs w:val="22"/>
                  <w:u w:val="single"/>
                </w:rPr>
                <w:t>https://www.radicaltherapistnetwork.com</w:t>
              </w:r>
            </w:hyperlink>
            <w:r>
              <w:rPr>
                <w:rFonts w:ascii="Arial" w:eastAsia="Arial" w:hAnsi="Arial" w:cs="Arial"/>
                <w:sz w:val="22"/>
                <w:szCs w:val="22"/>
              </w:rPr>
              <w:t xml:space="preserve">  </w:t>
            </w:r>
          </w:p>
          <w:p w14:paraId="538BCE29" w14:textId="77777777" w:rsidR="00885AE2" w:rsidRDefault="00000000">
            <w:pPr>
              <w:tabs>
                <w:tab w:val="left" w:pos="426"/>
              </w:tabs>
              <w:spacing w:after="380"/>
              <w:rPr>
                <w:rFonts w:ascii="Arial" w:eastAsia="Arial" w:hAnsi="Arial" w:cs="Arial"/>
                <w:sz w:val="22"/>
                <w:szCs w:val="22"/>
                <w:u w:val="single"/>
              </w:rPr>
            </w:pPr>
            <w:r>
              <w:rPr>
                <w:rFonts w:ascii="Arial" w:eastAsia="Arial" w:hAnsi="Arial" w:cs="Arial"/>
                <w:sz w:val="22"/>
                <w:szCs w:val="22"/>
              </w:rPr>
              <w:t xml:space="preserve">The Black, African and Asian Network (BAATN): </w:t>
            </w:r>
            <w:hyperlink r:id="rId23">
              <w:r>
                <w:rPr>
                  <w:rFonts w:ascii="Arial" w:eastAsia="Arial" w:hAnsi="Arial" w:cs="Arial"/>
                  <w:sz w:val="22"/>
                  <w:szCs w:val="22"/>
                  <w:u w:val="single"/>
                </w:rPr>
                <w:t>https://www.baatn.org.uk</w:t>
              </w:r>
            </w:hyperlink>
          </w:p>
          <w:p w14:paraId="3570E0A6" w14:textId="77777777" w:rsidR="00885AE2" w:rsidRDefault="00000000">
            <w:pPr>
              <w:tabs>
                <w:tab w:val="left" w:pos="426"/>
              </w:tabs>
              <w:spacing w:before="240" w:after="240"/>
              <w:rPr>
                <w:rFonts w:ascii="Arial" w:eastAsia="Arial" w:hAnsi="Arial" w:cs="Arial"/>
                <w:sz w:val="22"/>
                <w:szCs w:val="22"/>
                <w:u w:val="single"/>
              </w:rPr>
            </w:pPr>
            <w:r>
              <w:rPr>
                <w:rFonts w:ascii="Arial" w:eastAsia="Arial" w:hAnsi="Arial" w:cs="Arial"/>
                <w:sz w:val="22"/>
                <w:szCs w:val="22"/>
              </w:rPr>
              <w:t xml:space="preserve">UAL counselling: </w:t>
            </w:r>
            <w:r>
              <w:rPr>
                <w:rFonts w:ascii="Arial" w:eastAsia="Arial" w:hAnsi="Arial" w:cs="Arial"/>
                <w:sz w:val="22"/>
                <w:szCs w:val="22"/>
                <w:u w:val="single"/>
              </w:rPr>
              <w:t>https://www.arts.ac.uk/students/student-services/counselling-health-advice-and-chaplaincy/counselling</w:t>
            </w:r>
          </w:p>
        </w:tc>
      </w:tr>
      <w:tr w:rsidR="00885AE2" w14:paraId="7796B59A" w14:textId="77777777">
        <w:tc>
          <w:tcPr>
            <w:tcW w:w="8613" w:type="dxa"/>
            <w:tcBorders>
              <w:top w:val="single" w:sz="6" w:space="0" w:color="000000"/>
              <w:left w:val="single" w:sz="6" w:space="0" w:color="000000"/>
              <w:bottom w:val="single" w:sz="6" w:space="0" w:color="000000"/>
              <w:right w:val="single" w:sz="6" w:space="0" w:color="000000"/>
            </w:tcBorders>
          </w:tcPr>
          <w:p w14:paraId="7A7A2518" w14:textId="77777777" w:rsidR="00885AE2" w:rsidRDefault="00000000">
            <w:pPr>
              <w:numPr>
                <w:ilvl w:val="0"/>
                <w:numId w:val="1"/>
              </w:numPr>
              <w:pBdr>
                <w:top w:val="nil"/>
                <w:left w:val="nil"/>
                <w:bottom w:val="nil"/>
                <w:right w:val="nil"/>
                <w:between w:val="nil"/>
              </w:pBdr>
              <w:tabs>
                <w:tab w:val="left" w:pos="426"/>
              </w:tabs>
              <w:rPr>
                <w:rFonts w:ascii="Arial" w:eastAsia="Arial" w:hAnsi="Arial" w:cs="Arial"/>
                <w:b/>
                <w:color w:val="000000"/>
                <w:sz w:val="22"/>
                <w:szCs w:val="22"/>
              </w:rPr>
            </w:pPr>
            <w:r>
              <w:rPr>
                <w:rFonts w:ascii="Arial" w:eastAsia="Arial" w:hAnsi="Arial" w:cs="Arial"/>
                <w:b/>
                <w:color w:val="000000"/>
                <w:sz w:val="22"/>
                <w:szCs w:val="22"/>
              </w:rPr>
              <w:lastRenderedPageBreak/>
              <w:t>How will you protect the data of those involved?</w:t>
            </w:r>
          </w:p>
          <w:p w14:paraId="3AEE1383" w14:textId="77777777" w:rsidR="00885AE2" w:rsidRDefault="00885AE2">
            <w:pPr>
              <w:tabs>
                <w:tab w:val="left" w:pos="426"/>
              </w:tabs>
              <w:rPr>
                <w:rFonts w:ascii="Arial" w:eastAsia="Arial" w:hAnsi="Arial" w:cs="Arial"/>
                <w:b/>
                <w:sz w:val="22"/>
                <w:szCs w:val="22"/>
              </w:rPr>
            </w:pPr>
          </w:p>
          <w:p w14:paraId="5A6F63ED" w14:textId="40BB04A2" w:rsidR="00885AE2" w:rsidRDefault="00000000">
            <w:pPr>
              <w:tabs>
                <w:tab w:val="left" w:pos="426"/>
              </w:tabs>
              <w:rPr>
                <w:rFonts w:ascii="Arial" w:eastAsia="Arial" w:hAnsi="Arial" w:cs="Arial"/>
                <w:sz w:val="22"/>
                <w:szCs w:val="22"/>
              </w:rPr>
            </w:pPr>
            <w:r>
              <w:rPr>
                <w:rFonts w:ascii="Arial" w:eastAsia="Arial" w:hAnsi="Arial" w:cs="Arial"/>
                <w:sz w:val="22"/>
                <w:szCs w:val="22"/>
              </w:rPr>
              <w:t xml:space="preserve">Participants in my research will act as a background resource which will help me formulate the script, to ensure people are able to begin to understand what is happening in </w:t>
            </w:r>
            <w:r w:rsidR="00490796">
              <w:rPr>
                <w:rFonts w:ascii="Arial" w:eastAsia="Arial" w:hAnsi="Arial" w:cs="Arial"/>
                <w:sz w:val="22"/>
                <w:szCs w:val="22"/>
              </w:rPr>
              <w:t>Congo</w:t>
            </w:r>
            <w:r>
              <w:rPr>
                <w:rFonts w:ascii="Arial" w:eastAsia="Arial" w:hAnsi="Arial" w:cs="Arial"/>
                <w:sz w:val="22"/>
                <w:szCs w:val="22"/>
              </w:rPr>
              <w:t>, with regards to cobalt mining and climate change and ethical issues.</w:t>
            </w:r>
          </w:p>
          <w:p w14:paraId="7E59650B" w14:textId="03173108" w:rsidR="00885AE2" w:rsidRDefault="00000000">
            <w:pPr>
              <w:tabs>
                <w:tab w:val="left" w:pos="426"/>
              </w:tabs>
              <w:spacing w:before="240" w:after="240"/>
              <w:rPr>
                <w:rFonts w:ascii="Arial" w:eastAsia="Arial" w:hAnsi="Arial" w:cs="Arial"/>
                <w:sz w:val="22"/>
                <w:szCs w:val="22"/>
              </w:rPr>
            </w:pPr>
            <w:r>
              <w:rPr>
                <w:rFonts w:ascii="Arial" w:eastAsia="Arial" w:hAnsi="Arial" w:cs="Arial"/>
                <w:sz w:val="22"/>
                <w:szCs w:val="22"/>
              </w:rPr>
              <w:t xml:space="preserve">To protect participant data in educational research under the UK’s Data Protection Act 2018, </w:t>
            </w:r>
            <w:r w:rsidR="0042370E">
              <w:rPr>
                <w:rFonts w:ascii="Arial" w:eastAsia="Arial" w:hAnsi="Arial" w:cs="Arial"/>
                <w:sz w:val="22"/>
                <w:szCs w:val="22"/>
              </w:rPr>
              <w:t>the following</w:t>
            </w:r>
            <w:r>
              <w:rPr>
                <w:rFonts w:ascii="Arial" w:eastAsia="Arial" w:hAnsi="Arial" w:cs="Arial"/>
                <w:sz w:val="22"/>
                <w:szCs w:val="22"/>
              </w:rPr>
              <w:t xml:space="preserve"> key practices should be followed:</w:t>
            </w:r>
          </w:p>
          <w:p w14:paraId="4686510E" w14:textId="77777777" w:rsidR="00885AE2" w:rsidRDefault="00000000">
            <w:pPr>
              <w:numPr>
                <w:ilvl w:val="0"/>
                <w:numId w:val="3"/>
              </w:numPr>
              <w:tabs>
                <w:tab w:val="left" w:pos="426"/>
              </w:tabs>
              <w:spacing w:before="240"/>
              <w:rPr>
                <w:rFonts w:ascii="Arial" w:eastAsia="Arial" w:hAnsi="Arial" w:cs="Arial"/>
                <w:sz w:val="22"/>
                <w:szCs w:val="22"/>
              </w:rPr>
            </w:pPr>
            <w:r>
              <w:rPr>
                <w:rFonts w:ascii="Arial" w:eastAsia="Arial" w:hAnsi="Arial" w:cs="Arial"/>
                <w:sz w:val="22"/>
                <w:szCs w:val="22"/>
              </w:rPr>
              <w:t>Informed Consent: Ensure participants understand how their data will be collected, stored, and used, and obtain their consent.</w:t>
            </w:r>
          </w:p>
          <w:p w14:paraId="29E05BE1" w14:textId="77777777" w:rsidR="00885AE2" w:rsidRDefault="00000000">
            <w:pPr>
              <w:numPr>
                <w:ilvl w:val="0"/>
                <w:numId w:val="3"/>
              </w:numPr>
              <w:tabs>
                <w:tab w:val="left" w:pos="426"/>
              </w:tabs>
              <w:rPr>
                <w:rFonts w:ascii="Arial" w:eastAsia="Arial" w:hAnsi="Arial" w:cs="Arial"/>
                <w:sz w:val="22"/>
                <w:szCs w:val="22"/>
              </w:rPr>
            </w:pPr>
            <w:r>
              <w:rPr>
                <w:rFonts w:ascii="Arial" w:eastAsia="Arial" w:hAnsi="Arial" w:cs="Arial"/>
                <w:sz w:val="22"/>
                <w:szCs w:val="22"/>
              </w:rPr>
              <w:t>Anonymisation: Personal data should be anonymised or pseudonymised to prevent identification.</w:t>
            </w:r>
          </w:p>
          <w:p w14:paraId="1F319FC1" w14:textId="77777777" w:rsidR="00885AE2" w:rsidRDefault="00000000">
            <w:pPr>
              <w:numPr>
                <w:ilvl w:val="0"/>
                <w:numId w:val="3"/>
              </w:numPr>
              <w:tabs>
                <w:tab w:val="left" w:pos="426"/>
              </w:tabs>
              <w:rPr>
                <w:rFonts w:ascii="Arial" w:eastAsia="Arial" w:hAnsi="Arial" w:cs="Arial"/>
                <w:sz w:val="22"/>
                <w:szCs w:val="22"/>
              </w:rPr>
            </w:pPr>
            <w:r>
              <w:rPr>
                <w:rFonts w:ascii="Arial" w:eastAsia="Arial" w:hAnsi="Arial" w:cs="Arial"/>
                <w:sz w:val="22"/>
                <w:szCs w:val="22"/>
              </w:rPr>
              <w:t>Data Minimisation: Collect only the necessary data for the research.</w:t>
            </w:r>
          </w:p>
          <w:p w14:paraId="4DCA80DC" w14:textId="77777777" w:rsidR="00885AE2" w:rsidRDefault="00000000">
            <w:pPr>
              <w:numPr>
                <w:ilvl w:val="0"/>
                <w:numId w:val="3"/>
              </w:numPr>
              <w:tabs>
                <w:tab w:val="left" w:pos="426"/>
              </w:tabs>
              <w:rPr>
                <w:rFonts w:ascii="Arial" w:eastAsia="Arial" w:hAnsi="Arial" w:cs="Arial"/>
                <w:sz w:val="22"/>
                <w:szCs w:val="22"/>
              </w:rPr>
            </w:pPr>
            <w:r>
              <w:rPr>
                <w:rFonts w:ascii="Arial" w:eastAsia="Arial" w:hAnsi="Arial" w:cs="Arial"/>
                <w:sz w:val="22"/>
                <w:szCs w:val="22"/>
              </w:rPr>
              <w:t>Secure Storage: Store data securely using encryption and access controls.</w:t>
            </w:r>
          </w:p>
          <w:p w14:paraId="6CBE5847" w14:textId="77777777" w:rsidR="00885AE2" w:rsidRDefault="00000000">
            <w:pPr>
              <w:numPr>
                <w:ilvl w:val="0"/>
                <w:numId w:val="3"/>
              </w:numPr>
              <w:tabs>
                <w:tab w:val="left" w:pos="426"/>
              </w:tabs>
              <w:spacing w:after="240"/>
              <w:rPr>
                <w:rFonts w:ascii="Arial" w:eastAsia="Arial" w:hAnsi="Arial" w:cs="Arial"/>
                <w:sz w:val="22"/>
                <w:szCs w:val="22"/>
              </w:rPr>
            </w:pPr>
            <w:r>
              <w:rPr>
                <w:rFonts w:ascii="Arial" w:eastAsia="Arial" w:hAnsi="Arial" w:cs="Arial"/>
                <w:sz w:val="22"/>
                <w:szCs w:val="22"/>
              </w:rPr>
              <w:t>Right to Access and Erasure: Allow participants to access, correct, or delete their data upon request.</w:t>
            </w:r>
          </w:p>
          <w:p w14:paraId="5D4D8C42" w14:textId="77777777" w:rsidR="00885AE2" w:rsidRDefault="00000000">
            <w:pPr>
              <w:tabs>
                <w:tab w:val="left" w:pos="426"/>
              </w:tabs>
              <w:spacing w:before="240" w:after="240"/>
              <w:rPr>
                <w:rFonts w:ascii="Arial" w:eastAsia="Arial" w:hAnsi="Arial" w:cs="Arial"/>
                <w:sz w:val="22"/>
                <w:szCs w:val="22"/>
              </w:rPr>
            </w:pPr>
            <w:r>
              <w:rPr>
                <w:rFonts w:ascii="Arial" w:eastAsia="Arial" w:hAnsi="Arial" w:cs="Arial"/>
                <w:sz w:val="22"/>
                <w:szCs w:val="22"/>
              </w:rPr>
              <w:t>These steps ensure compliance and protect participants’ rights.</w:t>
            </w:r>
          </w:p>
          <w:p w14:paraId="030AB28C" w14:textId="2BC0AA64" w:rsidR="00885AE2" w:rsidRDefault="00000000">
            <w:pPr>
              <w:tabs>
                <w:tab w:val="left" w:pos="426"/>
              </w:tabs>
              <w:spacing w:before="240" w:after="240"/>
              <w:rPr>
                <w:rFonts w:ascii="Arial" w:eastAsia="Arial" w:hAnsi="Arial" w:cs="Arial"/>
                <w:sz w:val="22"/>
                <w:szCs w:val="22"/>
              </w:rPr>
            </w:pPr>
            <w:r>
              <w:rPr>
                <w:rFonts w:ascii="Arial" w:eastAsia="Arial" w:hAnsi="Arial" w:cs="Arial"/>
                <w:sz w:val="22"/>
                <w:szCs w:val="22"/>
              </w:rPr>
              <w:t>To create the video</w:t>
            </w:r>
            <w:r w:rsidR="0042370E">
              <w:rPr>
                <w:rFonts w:ascii="Arial" w:eastAsia="Arial" w:hAnsi="Arial" w:cs="Arial"/>
                <w:sz w:val="22"/>
                <w:szCs w:val="22"/>
              </w:rPr>
              <w:t>,</w:t>
            </w:r>
            <w:r>
              <w:rPr>
                <w:rFonts w:ascii="Arial" w:eastAsia="Arial" w:hAnsi="Arial" w:cs="Arial"/>
                <w:sz w:val="22"/>
                <w:szCs w:val="22"/>
              </w:rPr>
              <w:t xml:space="preserve"> my aim is to use already existing archival footage on YouTube. This is because YouTube videos can be considered archival material, especially when they document significant events, cultural phenomena, or societal changes. As a form of audiovisual documentation, they provide valuable insights and context for researchers. However, their classification as archival material may depend on factors like the video's content, context, and the intention behind its creation.</w:t>
            </w:r>
          </w:p>
          <w:p w14:paraId="4C704DEB" w14:textId="77777777" w:rsidR="00885AE2" w:rsidRDefault="00000000">
            <w:pPr>
              <w:tabs>
                <w:tab w:val="left" w:pos="426"/>
              </w:tabs>
              <w:spacing w:before="240" w:after="240"/>
              <w:rPr>
                <w:rFonts w:ascii="Arial" w:eastAsia="Arial" w:hAnsi="Arial" w:cs="Arial"/>
                <w:sz w:val="22"/>
                <w:szCs w:val="22"/>
              </w:rPr>
            </w:pPr>
            <w:r>
              <w:rPr>
                <w:rFonts w:ascii="Arial" w:eastAsia="Arial" w:hAnsi="Arial" w:cs="Arial"/>
                <w:sz w:val="22"/>
                <w:szCs w:val="22"/>
              </w:rPr>
              <w:t>As I am using other channel’s content from YouTube and other visual sources to create a video essay for educational purposes, I would need to consider the following:</w:t>
            </w:r>
          </w:p>
          <w:p w14:paraId="0B6A1EE5" w14:textId="77777777" w:rsidR="00885AE2" w:rsidRDefault="00000000">
            <w:pPr>
              <w:numPr>
                <w:ilvl w:val="0"/>
                <w:numId w:val="2"/>
              </w:numPr>
              <w:pBdr>
                <w:top w:val="nil"/>
                <w:left w:val="nil"/>
                <w:bottom w:val="nil"/>
                <w:right w:val="nil"/>
                <w:between w:val="nil"/>
              </w:pBdr>
              <w:spacing w:before="240" w:after="240"/>
              <w:rPr>
                <w:rFonts w:ascii="Arial" w:eastAsia="Arial" w:hAnsi="Arial" w:cs="Arial"/>
                <w:color w:val="000000"/>
                <w:sz w:val="22"/>
                <w:szCs w:val="22"/>
              </w:rPr>
            </w:pPr>
            <w:r>
              <w:rPr>
                <w:rFonts w:ascii="Arial" w:eastAsia="Arial" w:hAnsi="Arial" w:cs="Arial"/>
                <w:b/>
                <w:color w:val="000000"/>
                <w:sz w:val="22"/>
                <w:szCs w:val="22"/>
              </w:rPr>
              <w:t>Fair Use:</w:t>
            </w:r>
            <w:r>
              <w:rPr>
                <w:rFonts w:ascii="Arial" w:eastAsia="Arial" w:hAnsi="Arial" w:cs="Arial"/>
                <w:color w:val="000000"/>
                <w:sz w:val="22"/>
                <w:szCs w:val="22"/>
              </w:rPr>
              <w:t xml:space="preserve"> </w:t>
            </w:r>
            <w:r>
              <w:rPr>
                <w:rFonts w:ascii="Arial" w:eastAsia="Arial" w:hAnsi="Arial" w:cs="Arial"/>
                <w:sz w:val="22"/>
                <w:szCs w:val="22"/>
              </w:rPr>
              <w:t>U</w:t>
            </w:r>
            <w:r>
              <w:rPr>
                <w:rFonts w:ascii="Arial" w:eastAsia="Arial" w:hAnsi="Arial" w:cs="Arial"/>
                <w:color w:val="000000"/>
                <w:sz w:val="22"/>
                <w:szCs w:val="22"/>
              </w:rPr>
              <w:t xml:space="preserve">sing clips for educational purposes may fall under fair use, especially if </w:t>
            </w:r>
            <w:r>
              <w:rPr>
                <w:rFonts w:ascii="Arial" w:eastAsia="Arial" w:hAnsi="Arial" w:cs="Arial"/>
                <w:sz w:val="22"/>
                <w:szCs w:val="22"/>
              </w:rPr>
              <w:t>it’s done to</w:t>
            </w:r>
            <w:r>
              <w:rPr>
                <w:rFonts w:ascii="Arial" w:eastAsia="Arial" w:hAnsi="Arial" w:cs="Arial"/>
                <w:color w:val="000000"/>
                <w:sz w:val="22"/>
                <w:szCs w:val="22"/>
              </w:rPr>
              <w:t xml:space="preserve"> provide commentary, criticism, or analysis. However, this isn't a blanket protection and depends on the context, amount used, and whether your use is transformative.</w:t>
            </w:r>
          </w:p>
          <w:p w14:paraId="012FFE9A" w14:textId="77777777" w:rsidR="00885AE2" w:rsidRDefault="00000000">
            <w:pPr>
              <w:numPr>
                <w:ilvl w:val="0"/>
                <w:numId w:val="2"/>
              </w:numPr>
              <w:pBdr>
                <w:top w:val="nil"/>
                <w:left w:val="nil"/>
                <w:bottom w:val="nil"/>
                <w:right w:val="nil"/>
                <w:between w:val="nil"/>
              </w:pBdr>
              <w:spacing w:before="240" w:after="240"/>
              <w:rPr>
                <w:rFonts w:ascii="Arial" w:eastAsia="Arial" w:hAnsi="Arial" w:cs="Arial"/>
                <w:color w:val="000000"/>
                <w:sz w:val="22"/>
                <w:szCs w:val="22"/>
              </w:rPr>
            </w:pPr>
            <w:r>
              <w:rPr>
                <w:rFonts w:ascii="Arial" w:eastAsia="Arial" w:hAnsi="Arial" w:cs="Arial"/>
                <w:b/>
                <w:color w:val="000000"/>
                <w:sz w:val="22"/>
                <w:szCs w:val="22"/>
              </w:rPr>
              <w:t>Length and Context:</w:t>
            </w:r>
            <w:r>
              <w:rPr>
                <w:rFonts w:ascii="Arial" w:eastAsia="Arial" w:hAnsi="Arial" w:cs="Arial"/>
                <w:color w:val="000000"/>
                <w:sz w:val="22"/>
                <w:szCs w:val="22"/>
              </w:rPr>
              <w:t xml:space="preserve"> Using short clips </w:t>
            </w:r>
            <w:r>
              <w:rPr>
                <w:rFonts w:ascii="Arial" w:eastAsia="Arial" w:hAnsi="Arial" w:cs="Arial"/>
                <w:sz w:val="22"/>
                <w:szCs w:val="22"/>
              </w:rPr>
              <w:t>are</w:t>
            </w:r>
            <w:r>
              <w:rPr>
                <w:rFonts w:ascii="Arial" w:eastAsia="Arial" w:hAnsi="Arial" w:cs="Arial"/>
                <w:color w:val="000000"/>
                <w:sz w:val="22"/>
                <w:szCs w:val="22"/>
              </w:rPr>
              <w:t xml:space="preserve"> more likely to be considered fair use. </w:t>
            </w:r>
            <w:r>
              <w:rPr>
                <w:rFonts w:ascii="Arial" w:eastAsia="Arial" w:hAnsi="Arial" w:cs="Arial"/>
                <w:sz w:val="22"/>
                <w:szCs w:val="22"/>
              </w:rPr>
              <w:t>If I use</w:t>
            </w:r>
            <w:r>
              <w:rPr>
                <w:rFonts w:ascii="Arial" w:eastAsia="Arial" w:hAnsi="Arial" w:cs="Arial"/>
                <w:color w:val="000000"/>
                <w:sz w:val="22"/>
                <w:szCs w:val="22"/>
              </w:rPr>
              <w:t xml:space="preserve"> significant portions of a video or the entire video, </w:t>
            </w:r>
            <w:r>
              <w:rPr>
                <w:rFonts w:ascii="Arial" w:eastAsia="Arial" w:hAnsi="Arial" w:cs="Arial"/>
                <w:sz w:val="22"/>
                <w:szCs w:val="22"/>
              </w:rPr>
              <w:t>I</w:t>
            </w:r>
            <w:r>
              <w:rPr>
                <w:rFonts w:ascii="Arial" w:eastAsia="Arial" w:hAnsi="Arial" w:cs="Arial"/>
                <w:color w:val="000000"/>
                <w:sz w:val="22"/>
                <w:szCs w:val="22"/>
              </w:rPr>
              <w:t xml:space="preserve"> may need permission.</w:t>
            </w:r>
          </w:p>
          <w:p w14:paraId="29471165" w14:textId="77777777" w:rsidR="00885AE2" w:rsidRDefault="00000000">
            <w:pPr>
              <w:numPr>
                <w:ilvl w:val="0"/>
                <w:numId w:val="2"/>
              </w:numPr>
              <w:pBdr>
                <w:top w:val="nil"/>
                <w:left w:val="nil"/>
                <w:bottom w:val="nil"/>
                <w:right w:val="nil"/>
                <w:between w:val="nil"/>
              </w:pBdr>
              <w:spacing w:before="240" w:after="240"/>
              <w:rPr>
                <w:rFonts w:ascii="Arial" w:eastAsia="Arial" w:hAnsi="Arial" w:cs="Arial"/>
                <w:color w:val="000000"/>
                <w:sz w:val="22"/>
                <w:szCs w:val="22"/>
              </w:rPr>
            </w:pPr>
            <w:r>
              <w:rPr>
                <w:rFonts w:ascii="Arial" w:eastAsia="Arial" w:hAnsi="Arial" w:cs="Arial"/>
                <w:b/>
                <w:color w:val="000000"/>
                <w:sz w:val="22"/>
                <w:szCs w:val="22"/>
              </w:rPr>
              <w:t xml:space="preserve">Creative Commons </w:t>
            </w:r>
            <w:r>
              <w:rPr>
                <w:rFonts w:ascii="Arial" w:eastAsia="Arial" w:hAnsi="Arial" w:cs="Arial"/>
                <w:b/>
                <w:sz w:val="22"/>
                <w:szCs w:val="22"/>
              </w:rPr>
              <w:t>Licences</w:t>
            </w:r>
            <w:r>
              <w:rPr>
                <w:rFonts w:ascii="Arial" w:eastAsia="Arial" w:hAnsi="Arial" w:cs="Arial"/>
                <w:b/>
                <w:color w:val="000000"/>
                <w:sz w:val="22"/>
                <w:szCs w:val="22"/>
              </w:rPr>
              <w:t>:</w:t>
            </w:r>
            <w:r>
              <w:rPr>
                <w:rFonts w:ascii="Arial" w:eastAsia="Arial" w:hAnsi="Arial" w:cs="Arial"/>
                <w:color w:val="000000"/>
                <w:sz w:val="22"/>
                <w:szCs w:val="22"/>
              </w:rPr>
              <w:t xml:space="preserve"> Some YouTube videos are published under Creative Commons </w:t>
            </w:r>
            <w:r>
              <w:rPr>
                <w:rFonts w:ascii="Arial" w:eastAsia="Arial" w:hAnsi="Arial" w:cs="Arial"/>
                <w:sz w:val="22"/>
                <w:szCs w:val="22"/>
              </w:rPr>
              <w:t>licences</w:t>
            </w:r>
            <w:r>
              <w:rPr>
                <w:rFonts w:ascii="Arial" w:eastAsia="Arial" w:hAnsi="Arial" w:cs="Arial"/>
                <w:color w:val="000000"/>
                <w:sz w:val="22"/>
                <w:szCs w:val="22"/>
              </w:rPr>
              <w:t>, which allow for reuse under certain conditions. I will</w:t>
            </w:r>
            <w:r>
              <w:rPr>
                <w:rFonts w:ascii="Arial" w:eastAsia="Arial" w:hAnsi="Arial" w:cs="Arial"/>
                <w:sz w:val="22"/>
                <w:szCs w:val="22"/>
              </w:rPr>
              <w:t xml:space="preserve"> be able to find this out by checking</w:t>
            </w:r>
            <w:r>
              <w:rPr>
                <w:rFonts w:ascii="Arial" w:eastAsia="Arial" w:hAnsi="Arial" w:cs="Arial"/>
                <w:color w:val="000000"/>
                <w:sz w:val="22"/>
                <w:szCs w:val="22"/>
              </w:rPr>
              <w:t xml:space="preserve"> the video’s description for licensing details.</w:t>
            </w:r>
          </w:p>
          <w:p w14:paraId="2673130E" w14:textId="77777777" w:rsidR="00885AE2" w:rsidRDefault="00000000">
            <w:pPr>
              <w:numPr>
                <w:ilvl w:val="0"/>
                <w:numId w:val="2"/>
              </w:numPr>
              <w:pBdr>
                <w:top w:val="nil"/>
                <w:left w:val="nil"/>
                <w:bottom w:val="nil"/>
                <w:right w:val="nil"/>
                <w:between w:val="nil"/>
              </w:pBdr>
              <w:spacing w:before="240" w:after="240"/>
              <w:rPr>
                <w:rFonts w:ascii="Arial" w:eastAsia="Arial" w:hAnsi="Arial" w:cs="Arial"/>
                <w:color w:val="000000"/>
                <w:sz w:val="22"/>
                <w:szCs w:val="22"/>
              </w:rPr>
            </w:pPr>
            <w:r>
              <w:rPr>
                <w:rFonts w:ascii="Arial" w:eastAsia="Arial" w:hAnsi="Arial" w:cs="Arial"/>
                <w:b/>
                <w:color w:val="000000"/>
                <w:sz w:val="22"/>
                <w:szCs w:val="22"/>
              </w:rPr>
              <w:lastRenderedPageBreak/>
              <w:t>Educational Institutions:</w:t>
            </w:r>
            <w:r>
              <w:rPr>
                <w:rFonts w:ascii="Arial" w:eastAsia="Arial" w:hAnsi="Arial" w:cs="Arial"/>
                <w:color w:val="000000"/>
                <w:sz w:val="22"/>
                <w:szCs w:val="22"/>
              </w:rPr>
              <w:t xml:space="preserve"> Since I am affiliated with an educational institution (UAL), I will need to check if there are specific guidelines or </w:t>
            </w:r>
            <w:r>
              <w:rPr>
                <w:rFonts w:ascii="Arial" w:eastAsia="Arial" w:hAnsi="Arial" w:cs="Arial"/>
                <w:sz w:val="22"/>
                <w:szCs w:val="22"/>
              </w:rPr>
              <w:t>licences</w:t>
            </w:r>
            <w:r>
              <w:rPr>
                <w:rFonts w:ascii="Arial" w:eastAsia="Arial" w:hAnsi="Arial" w:cs="Arial"/>
                <w:color w:val="000000"/>
                <w:sz w:val="22"/>
                <w:szCs w:val="22"/>
              </w:rPr>
              <w:t xml:space="preserve"> in place for using media.</w:t>
            </w:r>
          </w:p>
          <w:p w14:paraId="27AECA61" w14:textId="77777777" w:rsidR="00885AE2" w:rsidRDefault="00000000">
            <w:pPr>
              <w:spacing w:before="240" w:after="240"/>
              <w:rPr>
                <w:rFonts w:ascii="Arial" w:eastAsia="Arial" w:hAnsi="Arial" w:cs="Arial"/>
                <w:sz w:val="22"/>
                <w:szCs w:val="22"/>
              </w:rPr>
            </w:pPr>
            <w:r>
              <w:rPr>
                <w:rFonts w:ascii="Arial" w:eastAsia="Arial" w:hAnsi="Arial" w:cs="Arial"/>
                <w:sz w:val="22"/>
                <w:szCs w:val="22"/>
              </w:rPr>
              <w:t>This research will need to be done before I publish the Video Essay, so I can decide if this is a personal publication or an institutional one.</w:t>
            </w:r>
          </w:p>
        </w:tc>
      </w:tr>
      <w:tr w:rsidR="00885AE2" w14:paraId="0DD1DFCD" w14:textId="77777777">
        <w:trPr>
          <w:trHeight w:val="1182"/>
        </w:trPr>
        <w:tc>
          <w:tcPr>
            <w:tcW w:w="8613" w:type="dxa"/>
            <w:tcBorders>
              <w:top w:val="single" w:sz="6" w:space="0" w:color="000000"/>
              <w:left w:val="single" w:sz="6" w:space="0" w:color="000000"/>
              <w:bottom w:val="single" w:sz="6" w:space="0" w:color="000000"/>
              <w:right w:val="single" w:sz="6" w:space="0" w:color="000000"/>
            </w:tcBorders>
          </w:tcPr>
          <w:p w14:paraId="6BC1CCA4" w14:textId="77777777" w:rsidR="00885AE2"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b/>
                <w:color w:val="000000"/>
                <w:sz w:val="22"/>
                <w:szCs w:val="22"/>
              </w:rPr>
              <w:lastRenderedPageBreak/>
              <w:t>How will you work with your participants in an ethical way?</w:t>
            </w:r>
          </w:p>
          <w:p w14:paraId="04D4A332" w14:textId="77777777" w:rsidR="00885AE2" w:rsidRDefault="00885AE2">
            <w:pPr>
              <w:rPr>
                <w:rFonts w:ascii="Arial" w:eastAsia="Arial" w:hAnsi="Arial" w:cs="Arial"/>
                <w:sz w:val="22"/>
                <w:szCs w:val="22"/>
              </w:rPr>
            </w:pPr>
          </w:p>
          <w:p w14:paraId="6C857321" w14:textId="77777777" w:rsidR="00885AE2" w:rsidRDefault="00000000">
            <w:pPr>
              <w:rPr>
                <w:rFonts w:ascii="Arial" w:eastAsia="Arial" w:hAnsi="Arial" w:cs="Arial"/>
                <w:sz w:val="22"/>
                <w:szCs w:val="22"/>
              </w:rPr>
            </w:pPr>
            <w:r>
              <w:rPr>
                <w:rFonts w:ascii="Arial" w:eastAsia="Arial" w:hAnsi="Arial" w:cs="Arial"/>
                <w:sz w:val="22"/>
                <w:szCs w:val="22"/>
              </w:rPr>
              <w:t xml:space="preserve">I will work with participants in an ethical way by ensuring their involvement is entirely voluntary and based on informed consent. I will clearly explain the purpose of the video essay and how their input will be used, whether through interviews or questionnaires. </w:t>
            </w:r>
          </w:p>
          <w:p w14:paraId="569E9B25" w14:textId="77777777" w:rsidR="00885AE2" w:rsidRDefault="00885AE2">
            <w:pPr>
              <w:rPr>
                <w:rFonts w:ascii="Arial" w:eastAsia="Arial" w:hAnsi="Arial" w:cs="Arial"/>
                <w:sz w:val="22"/>
                <w:szCs w:val="22"/>
              </w:rPr>
            </w:pPr>
          </w:p>
          <w:p w14:paraId="1DB2B27C" w14:textId="3598C8E3" w:rsidR="00885AE2" w:rsidRDefault="00000000">
            <w:pPr>
              <w:rPr>
                <w:rFonts w:ascii="Arial" w:eastAsia="Arial" w:hAnsi="Arial" w:cs="Arial"/>
                <w:sz w:val="22"/>
                <w:szCs w:val="22"/>
              </w:rPr>
            </w:pPr>
            <w:r>
              <w:rPr>
                <w:rFonts w:ascii="Arial" w:eastAsia="Arial" w:hAnsi="Arial" w:cs="Arial"/>
                <w:sz w:val="22"/>
                <w:szCs w:val="22"/>
              </w:rPr>
              <w:t xml:space="preserve">For the </w:t>
            </w:r>
            <w:r w:rsidR="00490796">
              <w:rPr>
                <w:rFonts w:ascii="Arial" w:eastAsia="Arial" w:hAnsi="Arial" w:cs="Arial"/>
                <w:sz w:val="22"/>
                <w:szCs w:val="22"/>
              </w:rPr>
              <w:t xml:space="preserve">Quasi-structured </w:t>
            </w:r>
            <w:r>
              <w:rPr>
                <w:rFonts w:ascii="Arial" w:eastAsia="Arial" w:hAnsi="Arial" w:cs="Arial"/>
                <w:sz w:val="22"/>
                <w:szCs w:val="22"/>
              </w:rPr>
              <w:t>questionnaire, I will collect data in the form of what staff and students know</w:t>
            </w:r>
            <w:r w:rsidR="00490796">
              <w:rPr>
                <w:rFonts w:ascii="Arial" w:eastAsia="Arial" w:hAnsi="Arial" w:cs="Arial"/>
                <w:sz w:val="22"/>
                <w:szCs w:val="22"/>
              </w:rPr>
              <w:t xml:space="preserve"> and want</w:t>
            </w:r>
            <w:r>
              <w:rPr>
                <w:rFonts w:ascii="Arial" w:eastAsia="Arial" w:hAnsi="Arial" w:cs="Arial"/>
                <w:sz w:val="22"/>
                <w:szCs w:val="22"/>
              </w:rPr>
              <w:t xml:space="preserve"> and this will be to gain </w:t>
            </w:r>
            <w:r w:rsidR="00490796">
              <w:rPr>
                <w:rFonts w:ascii="Arial" w:eastAsia="Arial" w:hAnsi="Arial" w:cs="Arial"/>
                <w:sz w:val="22"/>
                <w:szCs w:val="22"/>
              </w:rPr>
              <w:t xml:space="preserve">general understanding of the way video essays are viewed as mechanisms for dissemination, in addition to </w:t>
            </w:r>
            <w:r>
              <w:rPr>
                <w:rFonts w:ascii="Arial" w:eastAsia="Arial" w:hAnsi="Arial" w:cs="Arial"/>
                <w:sz w:val="22"/>
                <w:szCs w:val="22"/>
              </w:rPr>
              <w:t xml:space="preserve">fact-based insights about the awareness of cobalt mining and its associated climate and ethical issues. I am currently in the process of developing an Interview guide and improving on my questionnaire. All data will be anonymised, and consent will be obtained through full disclosure, especially during technical workshops with students. For staff, the process will be slightly different—I'll speak with them in person as well as follow up with email communication to ensure transparency and comfort. </w:t>
            </w:r>
          </w:p>
          <w:p w14:paraId="6B7602EE" w14:textId="77777777" w:rsidR="00885AE2" w:rsidRDefault="00885AE2">
            <w:pPr>
              <w:rPr>
                <w:rFonts w:ascii="Arial" w:eastAsia="Arial" w:hAnsi="Arial" w:cs="Arial"/>
                <w:sz w:val="22"/>
                <w:szCs w:val="22"/>
              </w:rPr>
            </w:pPr>
          </w:p>
          <w:p w14:paraId="295B5408" w14:textId="77777777" w:rsidR="00885AE2" w:rsidRDefault="00000000">
            <w:pPr>
              <w:rPr>
                <w:rFonts w:ascii="Arial" w:eastAsia="Arial" w:hAnsi="Arial" w:cs="Arial"/>
                <w:sz w:val="22"/>
                <w:szCs w:val="22"/>
              </w:rPr>
            </w:pPr>
            <w:r>
              <w:rPr>
                <w:rFonts w:ascii="Arial" w:eastAsia="Arial" w:hAnsi="Arial" w:cs="Arial"/>
                <w:sz w:val="22"/>
                <w:szCs w:val="22"/>
              </w:rPr>
              <w:t>Confidentiality will be maintained, and participants will have the chance to review any material involving their contributions before it is finalised. Throughout, I will prioritise open dialogue and respect for each participant’s views.</w:t>
            </w:r>
          </w:p>
          <w:p w14:paraId="2FB37C37" w14:textId="77777777" w:rsidR="00885AE2" w:rsidRDefault="00885AE2">
            <w:pPr>
              <w:rPr>
                <w:rFonts w:ascii="Arial" w:eastAsia="Arial" w:hAnsi="Arial" w:cs="Arial"/>
                <w:sz w:val="22"/>
                <w:szCs w:val="22"/>
              </w:rPr>
            </w:pPr>
          </w:p>
          <w:p w14:paraId="13B1247F" w14:textId="77777777" w:rsidR="00885AE2" w:rsidRDefault="00885AE2">
            <w:pPr>
              <w:rPr>
                <w:rFonts w:ascii="Arial" w:eastAsia="Arial" w:hAnsi="Arial" w:cs="Arial"/>
                <w:b/>
                <w:sz w:val="22"/>
                <w:szCs w:val="22"/>
              </w:rPr>
            </w:pPr>
          </w:p>
        </w:tc>
      </w:tr>
    </w:tbl>
    <w:p w14:paraId="47836FC6" w14:textId="77777777" w:rsidR="00885AE2" w:rsidRDefault="00885AE2">
      <w:pPr>
        <w:rPr>
          <w:rFonts w:ascii="Arial" w:eastAsia="Arial" w:hAnsi="Arial" w:cs="Arial"/>
          <w:sz w:val="22"/>
          <w:szCs w:val="22"/>
        </w:rPr>
      </w:pPr>
    </w:p>
    <w:sectPr w:rsidR="00885AE2">
      <w:headerReference w:type="default" r:id="rId24"/>
      <w:footerReference w:type="even" r:id="rId25"/>
      <w:footerReference w:type="default" r:id="rId26"/>
      <w:headerReference w:type="first" r:id="rId27"/>
      <w:pgSz w:w="11900" w:h="16840"/>
      <w:pgMar w:top="1440" w:right="1800" w:bottom="1440" w:left="180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95A3E4" w14:textId="77777777" w:rsidR="00DC40A6" w:rsidRDefault="00DC40A6">
      <w:r>
        <w:separator/>
      </w:r>
    </w:p>
  </w:endnote>
  <w:endnote w:type="continuationSeparator" w:id="0">
    <w:p w14:paraId="2F1B4B85" w14:textId="77777777" w:rsidR="00DC40A6" w:rsidRDefault="00DC4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0BDC21B-2C39-4A44-943D-00CBBCA6C020}"/>
    <w:embedBold r:id="rId2" w:fontKey="{D61A818D-C45F-CF49-B0E8-E45048B5B710}"/>
  </w:font>
  <w:font w:name="Arial">
    <w:panose1 w:val="020B0604020202020204"/>
    <w:charset w:val="00"/>
    <w:family w:val="swiss"/>
    <w:pitch w:val="variable"/>
    <w:sig w:usb0="E0002AFF" w:usb1="C0007843" w:usb2="00000009" w:usb3="00000000" w:csb0="000001FF" w:csb1="00000000"/>
    <w:embedRegular r:id="rId3" w:fontKey="{D170CD6A-F6E1-3B42-B816-108599610360}"/>
    <w:embedBold r:id="rId4" w:fontKey="{C954F793-4125-0F4E-BF98-447AF79E122E}"/>
  </w:font>
  <w:font w:name="Calibri">
    <w:panose1 w:val="020F0502020204030204"/>
    <w:charset w:val="00"/>
    <w:family w:val="swiss"/>
    <w:pitch w:val="variable"/>
    <w:sig w:usb0="E0002AFF" w:usb1="C000247B" w:usb2="00000009" w:usb3="00000000" w:csb0="000001FF" w:csb1="00000000"/>
    <w:embedRegular r:id="rId5" w:fontKey="{25CAB5C2-7445-2B4D-86D1-2B2AA9E34036}"/>
    <w:embedBold r:id="rId6" w:fontKey="{CA36644C-EAA0-EC4B-95E9-A2E399E02CFE}"/>
    <w:embedItalic r:id="rId7" w:fontKey="{BFD5E290-BEF8-F547-A30F-7423201718F2}"/>
    <w:embedBoldItalic r:id="rId8" w:fontKey="{E44B3BA5-0AC2-C74B-8452-EDD672949618}"/>
  </w:font>
  <w:font w:name="Lucida Grande">
    <w:panose1 w:val="020B0600040502020204"/>
    <w:charset w:val="00"/>
    <w:family w:val="swiss"/>
    <w:pitch w:val="variable"/>
    <w:sig w:usb0="E1000AEF" w:usb1="5000A1FF" w:usb2="00000000" w:usb3="00000000" w:csb0="000001BF" w:csb1="00000000"/>
  </w:font>
  <w:font w:name="Roboto">
    <w:panose1 w:val="02000000000000000000"/>
    <w:charset w:val="00"/>
    <w:family w:val="auto"/>
    <w:pitch w:val="variable"/>
    <w:sig w:usb0="E0000AFF" w:usb1="5000217F" w:usb2="00000021" w:usb3="00000000" w:csb0="0000019F" w:csb1="00000000"/>
    <w:embedRegular r:id="rId10" w:fontKey="{47975D66-E979-4F4D-831E-95600CDAC13E}"/>
    <w:embedItalic r:id="rId11" w:fontKey="{7CFF6503-C502-014D-ABB2-5AFCBE4FBEF1}"/>
  </w:font>
  <w:font w:name="Open Sans">
    <w:panose1 w:val="020B0606030504020204"/>
    <w:charset w:val="00"/>
    <w:family w:val="swiss"/>
    <w:pitch w:val="variable"/>
    <w:sig w:usb0="E00002EF" w:usb1="4000205B" w:usb2="00000028" w:usb3="00000000" w:csb0="0000019F" w:csb1="00000000"/>
    <w:embedRegular r:id="rId12" w:fontKey="{E2405448-54F8-C347-A189-9A5A3E5779E8}"/>
  </w:font>
  <w:font w:name="Quattrocento Sans">
    <w:panose1 w:val="020B0502050000020003"/>
    <w:charset w:val="00"/>
    <w:family w:val="swiss"/>
    <w:pitch w:val="variable"/>
    <w:sig w:usb0="800000BF" w:usb1="4000005B" w:usb2="00000000" w:usb3="00000000" w:csb0="00000001" w:csb1="00000000"/>
    <w:embedRegular r:id="rId13" w:fontKey="{C0EDE610-CAE8-0743-9CD3-A20AC09CD265}"/>
  </w:font>
  <w:font w:name="Cambria">
    <w:panose1 w:val="02040503050406030204"/>
    <w:charset w:val="00"/>
    <w:family w:val="roman"/>
    <w:pitch w:val="variable"/>
    <w:sig w:usb0="E00006FF" w:usb1="420024FF" w:usb2="02000000" w:usb3="00000000" w:csb0="0000019F" w:csb1="00000000"/>
    <w:embedRegular r:id="rId14" w:fontKey="{5032B034-4D42-734F-85A3-77E1080298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905EE" w14:textId="77777777" w:rsidR="00885AE2"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3A51B9C" w14:textId="77777777" w:rsidR="00885AE2" w:rsidRDefault="00885AE2">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6EB05" w14:textId="77777777" w:rsidR="00885AE2" w:rsidRDefault="00000000">
    <w:pPr>
      <w:pBdr>
        <w:top w:val="nil"/>
        <w:left w:val="nil"/>
        <w:bottom w:val="nil"/>
        <w:right w:val="nil"/>
        <w:between w:val="nil"/>
      </w:pBdr>
      <w:tabs>
        <w:tab w:val="center" w:pos="4320"/>
        <w:tab w:val="right" w:pos="8640"/>
      </w:tabs>
      <w:jc w:val="right"/>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811FB9">
      <w:rPr>
        <w:rFonts w:ascii="Arial" w:eastAsia="Arial" w:hAnsi="Arial" w:cs="Arial"/>
        <w:noProof/>
        <w:color w:val="000000"/>
        <w:sz w:val="16"/>
        <w:szCs w:val="16"/>
      </w:rPr>
      <w:t>2</w:t>
    </w:r>
    <w:r>
      <w:rPr>
        <w:rFonts w:ascii="Arial" w:eastAsia="Arial" w:hAnsi="Arial" w:cs="Arial"/>
        <w:color w:val="000000"/>
        <w:sz w:val="16"/>
        <w:szCs w:val="16"/>
      </w:rPr>
      <w:fldChar w:fldCharType="end"/>
    </w:r>
  </w:p>
  <w:p w14:paraId="13B2E03B" w14:textId="77777777" w:rsidR="00885AE2" w:rsidRDefault="00885AE2">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85CB3" w14:textId="77777777" w:rsidR="00DC40A6" w:rsidRDefault="00DC40A6">
      <w:r>
        <w:separator/>
      </w:r>
    </w:p>
  </w:footnote>
  <w:footnote w:type="continuationSeparator" w:id="0">
    <w:p w14:paraId="10442165" w14:textId="77777777" w:rsidR="00DC40A6" w:rsidRDefault="00DC4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94893" w14:textId="77777777" w:rsidR="00885AE2" w:rsidRDefault="00885AE2">
    <w:pPr>
      <w:pBdr>
        <w:top w:val="nil"/>
        <w:left w:val="nil"/>
        <w:bottom w:val="nil"/>
        <w:right w:val="nil"/>
        <w:between w:val="nil"/>
      </w:pBdr>
      <w:tabs>
        <w:tab w:val="center" w:pos="4320"/>
        <w:tab w:val="right" w:pos="8640"/>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AF86C" w14:textId="77777777" w:rsidR="00885AE2" w:rsidRDefault="00000000">
    <w:pPr>
      <w:pBdr>
        <w:top w:val="nil"/>
        <w:left w:val="nil"/>
        <w:bottom w:val="nil"/>
        <w:right w:val="nil"/>
        <w:between w:val="nil"/>
      </w:pBdr>
      <w:tabs>
        <w:tab w:val="center" w:pos="4320"/>
        <w:tab w:val="right" w:pos="8640"/>
      </w:tabs>
      <w:jc w:val="right"/>
      <w:rPr>
        <w:color w:val="000000"/>
      </w:rPr>
    </w:pPr>
    <w:r>
      <w:rPr>
        <w:noProof/>
        <w:color w:val="000000"/>
      </w:rPr>
      <w:drawing>
        <wp:inline distT="0" distB="0" distL="0" distR="0" wp14:anchorId="009E550A" wp14:editId="55311E4C">
          <wp:extent cx="984620" cy="44704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84620" cy="4470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67521"/>
    <w:multiLevelType w:val="multilevel"/>
    <w:tmpl w:val="7AFCA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115CCF"/>
    <w:multiLevelType w:val="multilevel"/>
    <w:tmpl w:val="663A408C"/>
    <w:lvl w:ilvl="0">
      <w:start w:val="1"/>
      <w:numFmt w:val="decimal"/>
      <w:lvlText w:val="%1."/>
      <w:lvlJc w:val="left"/>
      <w:pPr>
        <w:ind w:left="720"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F8269D2"/>
    <w:multiLevelType w:val="multilevel"/>
    <w:tmpl w:val="BE16C5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41587871">
    <w:abstractNumId w:val="1"/>
  </w:num>
  <w:num w:numId="2" w16cid:durableId="1386879708">
    <w:abstractNumId w:val="0"/>
  </w:num>
  <w:num w:numId="3" w16cid:durableId="15884929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AE2"/>
    <w:rsid w:val="00065C58"/>
    <w:rsid w:val="00075649"/>
    <w:rsid w:val="00085D8B"/>
    <w:rsid w:val="0042370E"/>
    <w:rsid w:val="00456A21"/>
    <w:rsid w:val="00490796"/>
    <w:rsid w:val="00811FB9"/>
    <w:rsid w:val="00885AE2"/>
    <w:rsid w:val="00B65788"/>
    <w:rsid w:val="00DC4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7824F75"/>
  <w15:docId w15:val="{1F4ED958-5349-6740-B86B-FB08B7B3E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33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544330"/>
    <w:pPr>
      <w:jc w:val="both"/>
    </w:pPr>
    <w:rPr>
      <w:rFonts w:ascii="Arial" w:hAnsi="Arial" w:cs="Arial"/>
      <w:bCs/>
      <w:sz w:val="22"/>
    </w:rPr>
  </w:style>
  <w:style w:type="character" w:customStyle="1" w:styleId="BodyTextChar">
    <w:name w:val="Body Text Char"/>
    <w:basedOn w:val="DefaultParagraphFont"/>
    <w:link w:val="BodyText"/>
    <w:rsid w:val="00544330"/>
    <w:rPr>
      <w:rFonts w:ascii="Arial" w:eastAsia="Times New Roman" w:hAnsi="Arial" w:cs="Arial"/>
      <w:bCs/>
      <w:sz w:val="22"/>
      <w:lang w:val="en-GB"/>
    </w:rPr>
  </w:style>
  <w:style w:type="paragraph" w:styleId="ListParagraph">
    <w:name w:val="List Paragraph"/>
    <w:basedOn w:val="Normal"/>
    <w:qFormat/>
    <w:rsid w:val="00544330"/>
    <w:pPr>
      <w:ind w:left="720"/>
    </w:pPr>
    <w:rPr>
      <w:rFonts w:ascii="Calibri" w:hAnsi="Calibri"/>
      <w:sz w:val="22"/>
      <w:szCs w:val="22"/>
    </w:rPr>
  </w:style>
  <w:style w:type="paragraph" w:styleId="Subtitle">
    <w:name w:val="Subtitle"/>
    <w:basedOn w:val="Normal"/>
    <w:next w:val="Normal"/>
    <w:link w:val="SubtitleChar"/>
    <w:uiPriority w:val="11"/>
    <w:qFormat/>
    <w:rPr>
      <w:b/>
    </w:rPr>
  </w:style>
  <w:style w:type="character" w:customStyle="1" w:styleId="SubtitleChar">
    <w:name w:val="Subtitle Char"/>
    <w:basedOn w:val="DefaultParagraphFont"/>
    <w:link w:val="Subtitle"/>
    <w:rsid w:val="00544330"/>
    <w:rPr>
      <w:rFonts w:ascii="Times New Roman" w:eastAsia="Times New Roman" w:hAnsi="Times New Roman" w:cs="Times New Roman"/>
      <w:b/>
      <w:bCs/>
      <w:lang w:val="en-GB"/>
    </w:rPr>
  </w:style>
  <w:style w:type="paragraph" w:styleId="Header">
    <w:name w:val="header"/>
    <w:basedOn w:val="Normal"/>
    <w:link w:val="HeaderChar"/>
    <w:uiPriority w:val="99"/>
    <w:unhideWhenUsed/>
    <w:rsid w:val="00544330"/>
    <w:pPr>
      <w:tabs>
        <w:tab w:val="center" w:pos="4320"/>
        <w:tab w:val="right" w:pos="8640"/>
      </w:tabs>
    </w:pPr>
  </w:style>
  <w:style w:type="character" w:customStyle="1" w:styleId="HeaderChar">
    <w:name w:val="Header Char"/>
    <w:basedOn w:val="DefaultParagraphFont"/>
    <w:link w:val="Header"/>
    <w:uiPriority w:val="99"/>
    <w:rsid w:val="00544330"/>
    <w:rPr>
      <w:rFonts w:ascii="Times New Roman" w:eastAsia="Times New Roman" w:hAnsi="Times New Roman" w:cs="Times New Roman"/>
      <w:lang w:val="en-GB"/>
    </w:rPr>
  </w:style>
  <w:style w:type="paragraph" w:styleId="Footer">
    <w:name w:val="footer"/>
    <w:basedOn w:val="Normal"/>
    <w:link w:val="FooterChar"/>
    <w:uiPriority w:val="99"/>
    <w:unhideWhenUsed/>
    <w:rsid w:val="00544330"/>
    <w:pPr>
      <w:tabs>
        <w:tab w:val="center" w:pos="4320"/>
        <w:tab w:val="right" w:pos="8640"/>
      </w:tabs>
    </w:pPr>
  </w:style>
  <w:style w:type="character" w:customStyle="1" w:styleId="FooterChar">
    <w:name w:val="Footer Char"/>
    <w:basedOn w:val="DefaultParagraphFont"/>
    <w:link w:val="Footer"/>
    <w:uiPriority w:val="99"/>
    <w:rsid w:val="0054433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5443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4330"/>
    <w:rPr>
      <w:rFonts w:ascii="Lucida Grande" w:eastAsia="Times New Roman" w:hAnsi="Lucida Grande" w:cs="Lucida Grande"/>
      <w:sz w:val="18"/>
      <w:szCs w:val="18"/>
      <w:lang w:val="en-GB"/>
    </w:rPr>
  </w:style>
  <w:style w:type="character" w:styleId="PageNumber">
    <w:name w:val="page number"/>
    <w:basedOn w:val="DefaultParagraphFont"/>
    <w:uiPriority w:val="99"/>
    <w:semiHidden/>
    <w:unhideWhenUsed/>
    <w:rsid w:val="003F2168"/>
  </w:style>
  <w:style w:type="paragraph" w:styleId="NormalWeb">
    <w:name w:val="Normal (Web)"/>
    <w:basedOn w:val="Normal"/>
    <w:uiPriority w:val="99"/>
    <w:unhideWhenUsed/>
    <w:rsid w:val="006C0527"/>
  </w:style>
  <w:style w:type="character" w:customStyle="1" w:styleId="s1">
    <w:name w:val="s1"/>
    <w:basedOn w:val="DefaultParagraphFont"/>
    <w:rsid w:val="006C0527"/>
  </w:style>
  <w:style w:type="table" w:customStyle="1" w:styleId="a">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B42E33"/>
    <w:rPr>
      <w:sz w:val="16"/>
      <w:szCs w:val="16"/>
    </w:rPr>
  </w:style>
  <w:style w:type="paragraph" w:styleId="CommentText">
    <w:name w:val="annotation text"/>
    <w:basedOn w:val="Normal"/>
    <w:link w:val="CommentTextChar"/>
    <w:uiPriority w:val="99"/>
    <w:semiHidden/>
    <w:unhideWhenUsed/>
    <w:rsid w:val="00B42E33"/>
    <w:rPr>
      <w:sz w:val="20"/>
      <w:szCs w:val="20"/>
    </w:rPr>
  </w:style>
  <w:style w:type="character" w:customStyle="1" w:styleId="CommentTextChar">
    <w:name w:val="Comment Text Char"/>
    <w:basedOn w:val="DefaultParagraphFont"/>
    <w:link w:val="CommentText"/>
    <w:uiPriority w:val="99"/>
    <w:semiHidden/>
    <w:rsid w:val="00B42E33"/>
    <w:rPr>
      <w:sz w:val="20"/>
      <w:szCs w:val="20"/>
    </w:rPr>
  </w:style>
  <w:style w:type="paragraph" w:styleId="CommentSubject">
    <w:name w:val="annotation subject"/>
    <w:basedOn w:val="CommentText"/>
    <w:next w:val="CommentText"/>
    <w:link w:val="CommentSubjectChar"/>
    <w:uiPriority w:val="99"/>
    <w:semiHidden/>
    <w:unhideWhenUsed/>
    <w:rsid w:val="00B42E33"/>
    <w:rPr>
      <w:b/>
      <w:bCs/>
    </w:rPr>
  </w:style>
  <w:style w:type="character" w:customStyle="1" w:styleId="CommentSubjectChar">
    <w:name w:val="Comment Subject Char"/>
    <w:basedOn w:val="CommentTextChar"/>
    <w:link w:val="CommentSubject"/>
    <w:uiPriority w:val="99"/>
    <w:semiHidden/>
    <w:rsid w:val="00B42E33"/>
    <w:rPr>
      <w:b/>
      <w:bCs/>
      <w:sz w:val="20"/>
      <w:szCs w:val="20"/>
    </w:rPr>
  </w:style>
  <w:style w:type="character" w:styleId="Hyperlink">
    <w:name w:val="Hyperlink"/>
    <w:basedOn w:val="DefaultParagraphFont"/>
    <w:uiPriority w:val="99"/>
    <w:unhideWhenUsed/>
    <w:rsid w:val="006074D9"/>
    <w:rPr>
      <w:color w:val="0000FF" w:themeColor="hyperlink"/>
      <w:u w:val="single"/>
    </w:rPr>
  </w:style>
  <w:style w:type="character" w:styleId="UnresolvedMention">
    <w:name w:val="Unresolved Mention"/>
    <w:basedOn w:val="DefaultParagraphFont"/>
    <w:uiPriority w:val="99"/>
    <w:semiHidden/>
    <w:unhideWhenUsed/>
    <w:rsid w:val="006074D9"/>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obaltinstitute.org/about-cobalt/cobalt-life-cycle/cobalt-mining/" TargetMode="External"/><Relationship Id="rId13" Type="http://schemas.openxmlformats.org/officeDocument/2006/relationships/hyperlink" Target="https://methods-sagepub-com.arts.idm.oclc.org/book/interpreting-interviews/n2.xml" TargetMode="External"/><Relationship Id="rId18" Type="http://schemas.openxmlformats.org/officeDocument/2006/relationships/hyperlink" Target="https://www.bera.ac.uk/publication/ethical-guidelines-for-educational-research-fifth-edition-2024"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resistrenew.com/" TargetMode="External"/><Relationship Id="rId7" Type="http://schemas.openxmlformats.org/officeDocument/2006/relationships/endnotes" Target="endnotes.xml"/><Relationship Id="rId12" Type="http://schemas.openxmlformats.org/officeDocument/2006/relationships/hyperlink" Target="https://doi.org/10.4135/9781446268353.n2" TargetMode="External"/><Relationship Id="rId17" Type="http://schemas.openxmlformats.org/officeDocument/2006/relationships/hyperlink" Target="https://artslondon.padlet.org/lindsayjordan/arp-prep-approach-methods-il10p9uv6ni3i60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ethods-sagepub-com.arts.idm.oclc.org/book/survey-questions/n3.xml" TargetMode="External"/><Relationship Id="rId20" Type="http://schemas.openxmlformats.org/officeDocument/2006/relationships/hyperlink" Target="https://healingjusticeldn.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thods-sagepub-com.arts.idm.oclc.org/video/what-are-the-key-stages-of-developing-an-interview-guid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pewresearch.org/our-methods/u-s-surveys/writing-survey-questions/" TargetMode="External"/><Relationship Id="rId23" Type="http://schemas.openxmlformats.org/officeDocument/2006/relationships/hyperlink" Target="https://www.baatn.org.uk/" TargetMode="External"/><Relationship Id="rId28" Type="http://schemas.openxmlformats.org/officeDocument/2006/relationships/fontTable" Target="fontTable.xml"/><Relationship Id="rId10" Type="http://schemas.openxmlformats.org/officeDocument/2006/relationships/hyperlink" Target="https://canvas.arts.ac.uk/userprofile/50804/Laura-Knight" TargetMode="External"/><Relationship Id="rId19" Type="http://schemas.openxmlformats.org/officeDocument/2006/relationships/hyperlink" Target="https://dera.ioe.ac.uk/141/1/09_05_supp.pdf" TargetMode="External"/><Relationship Id="rId4" Type="http://schemas.openxmlformats.org/officeDocument/2006/relationships/settings" Target="settings.xml"/><Relationship Id="rId9" Type="http://schemas.openxmlformats.org/officeDocument/2006/relationships/hyperlink" Target="https://freetheslaves.net/wp-content/uploads/2015/03/Congos-Mining-Slaves-web-130622.pdf" TargetMode="External"/><Relationship Id="rId14" Type="http://schemas.openxmlformats.org/officeDocument/2006/relationships/hyperlink" Target="https://doi-org.arts.idm.oclc.org/10.1177/1468794112439086" TargetMode="External"/><Relationship Id="rId22" Type="http://schemas.openxmlformats.org/officeDocument/2006/relationships/hyperlink" Target="https://www.radicaltherapistnetwork.com/" TargetMode="External"/><Relationship Id="rId27"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T1hOimpQTLxSGcOIKo93wTYP2w==">CgMxLjA4AHIhMThhaS1pMnYxLUVXZWJLenpPejNXMFJXZUxIa1dOek5C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2347</Words>
  <Characters>13383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Leila Ghouri</cp:lastModifiedBy>
  <cp:revision>2</cp:revision>
  <dcterms:created xsi:type="dcterms:W3CDTF">2024-11-01T15:06:00Z</dcterms:created>
  <dcterms:modified xsi:type="dcterms:W3CDTF">2024-11-01T15:06:00Z</dcterms:modified>
</cp:coreProperties>
</file>